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BF1EC3" w:rsidRDefault="00BF1EC3" w:rsidP="00EC5711">
      <w:pPr>
        <w:spacing w:after="0"/>
        <w:jc w:val="center"/>
        <w:rPr>
          <w:rFonts w:ascii="Arial" w:hAnsi="Arial" w:cs="Arial"/>
          <w:b/>
          <w:sz w:val="28"/>
          <w:szCs w:val="28"/>
        </w:rPr>
      </w:pPr>
    </w:p>
    <w:p w:rsidR="006E0FBB" w:rsidRPr="003836C7" w:rsidRDefault="003A0DBE" w:rsidP="006E0FBB">
      <w:pPr>
        <w:spacing w:after="0"/>
        <w:jc w:val="center"/>
        <w:rPr>
          <w:rFonts w:ascii="Arial" w:hAnsi="Arial" w:cs="Arial"/>
          <w:b/>
          <w:sz w:val="32"/>
          <w:szCs w:val="32"/>
        </w:rPr>
      </w:pPr>
      <w:r>
        <w:rPr>
          <w:rFonts w:ascii="Arial" w:hAnsi="Arial" w:cs="Arial"/>
          <w:b/>
          <w:sz w:val="32"/>
          <w:szCs w:val="32"/>
        </w:rPr>
        <w:t>Tasmania</w:t>
      </w:r>
    </w:p>
    <w:p w:rsidR="00BF1EC3" w:rsidRPr="00BF1EC3" w:rsidRDefault="00BF1EC3" w:rsidP="00EC5711">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395DA2">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844"/>
        <w:gridCol w:w="2126"/>
        <w:gridCol w:w="992"/>
        <w:gridCol w:w="1112"/>
        <w:gridCol w:w="2007"/>
        <w:gridCol w:w="1081"/>
        <w:gridCol w:w="1328"/>
      </w:tblGrid>
      <w:tr w:rsidR="00276567" w:rsidRPr="002E42CC" w:rsidTr="00C0246B">
        <w:tc>
          <w:tcPr>
            <w:tcW w:w="1844"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230"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C0246B">
        <w:tc>
          <w:tcPr>
            <w:tcW w:w="1844"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2126" w:type="dxa"/>
            <w:shd w:val="clear" w:color="auto" w:fill="8DB3E2" w:themeFill="text2" w:themeFillTint="66"/>
            <w:vAlign w:val="center"/>
          </w:tcPr>
          <w:p w:rsidR="00276567" w:rsidRPr="00594664" w:rsidRDefault="00276567" w:rsidP="00C0246B">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C0246B">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C0246B">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C0246B">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C0246B">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C0246B">
            <w:pPr>
              <w:jc w:val="right"/>
              <w:rPr>
                <w:rFonts w:ascii="Arial" w:hAnsi="Arial" w:cs="Arial"/>
                <w:b/>
              </w:rPr>
            </w:pPr>
            <w:r w:rsidRPr="00594664">
              <w:rPr>
                <w:rFonts w:ascii="Arial" w:hAnsi="Arial" w:cs="Arial"/>
                <w:b/>
              </w:rPr>
              <w:t>Females</w:t>
            </w:r>
          </w:p>
        </w:tc>
      </w:tr>
      <w:tr w:rsidR="003A0DBE" w:rsidRPr="002E42CC" w:rsidTr="00C0246B">
        <w:tc>
          <w:tcPr>
            <w:tcW w:w="1844"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2126"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232,125</w:t>
            </w:r>
            <w:r w:rsidR="00395DA2">
              <w:rPr>
                <w:rFonts w:ascii="Arial" w:hAnsi="Arial" w:cs="Arial"/>
                <w:sz w:val="16"/>
                <w:szCs w:val="16"/>
              </w:rPr>
              <w:t xml:space="preserve"> </w:t>
            </w:r>
            <w:r>
              <w:rPr>
                <w:rFonts w:ascii="Arial" w:hAnsi="Arial" w:cs="Arial"/>
                <w:sz w:val="16"/>
                <w:szCs w:val="16"/>
              </w:rPr>
              <w:t>(57.8%)</w:t>
            </w:r>
          </w:p>
        </w:tc>
        <w:tc>
          <w:tcPr>
            <w:tcW w:w="99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52.4%</w:t>
            </w:r>
          </w:p>
        </w:tc>
        <w:tc>
          <w:tcPr>
            <w:tcW w:w="111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47.6%</w:t>
            </w:r>
          </w:p>
        </w:tc>
        <w:tc>
          <w:tcPr>
            <w:tcW w:w="2007"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219,159</w:t>
            </w:r>
            <w:r w:rsidR="00395DA2">
              <w:rPr>
                <w:rFonts w:ascii="Arial" w:hAnsi="Arial" w:cs="Arial"/>
                <w:sz w:val="16"/>
                <w:szCs w:val="16"/>
              </w:rPr>
              <w:t xml:space="preserve"> </w:t>
            </w:r>
            <w:r>
              <w:rPr>
                <w:rFonts w:ascii="Arial" w:hAnsi="Arial" w:cs="Arial"/>
                <w:sz w:val="16"/>
                <w:szCs w:val="16"/>
              </w:rPr>
              <w:t>(57.3%)</w:t>
            </w:r>
          </w:p>
        </w:tc>
        <w:tc>
          <w:tcPr>
            <w:tcW w:w="1081"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53.3%</w:t>
            </w:r>
          </w:p>
        </w:tc>
        <w:tc>
          <w:tcPr>
            <w:tcW w:w="1328"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46.7%</w:t>
            </w:r>
          </w:p>
        </w:tc>
      </w:tr>
      <w:tr w:rsidR="003A0DBE" w:rsidRPr="002E42CC" w:rsidTr="00C0246B">
        <w:tc>
          <w:tcPr>
            <w:tcW w:w="1844" w:type="dxa"/>
            <w:shd w:val="clear" w:color="auto" w:fill="8DB3E2" w:themeFill="text2" w:themeFillTint="66"/>
            <w:vAlign w:val="bottom"/>
          </w:tcPr>
          <w:p w:rsidR="00395DA2"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p>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full-time</w:t>
            </w:r>
          </w:p>
        </w:tc>
        <w:tc>
          <w:tcPr>
            <w:tcW w:w="2126"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126,467</w:t>
            </w:r>
            <w:r w:rsidR="00395DA2">
              <w:rPr>
                <w:rFonts w:ascii="Arial" w:hAnsi="Arial" w:cs="Arial"/>
                <w:sz w:val="16"/>
                <w:szCs w:val="16"/>
              </w:rPr>
              <w:t xml:space="preserve"> </w:t>
            </w:r>
            <w:r>
              <w:rPr>
                <w:rFonts w:ascii="Arial" w:hAnsi="Arial" w:cs="Arial"/>
                <w:sz w:val="16"/>
                <w:szCs w:val="16"/>
              </w:rPr>
              <w:t>(31.5%)</w:t>
            </w:r>
          </w:p>
        </w:tc>
        <w:tc>
          <w:tcPr>
            <w:tcW w:w="99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65.0%</w:t>
            </w:r>
          </w:p>
        </w:tc>
        <w:tc>
          <w:tcPr>
            <w:tcW w:w="111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35.0%</w:t>
            </w:r>
          </w:p>
        </w:tc>
        <w:tc>
          <w:tcPr>
            <w:tcW w:w="2007"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122,813</w:t>
            </w:r>
            <w:r w:rsidR="00395DA2">
              <w:rPr>
                <w:rFonts w:ascii="Arial" w:hAnsi="Arial" w:cs="Arial"/>
                <w:sz w:val="16"/>
                <w:szCs w:val="16"/>
              </w:rPr>
              <w:t xml:space="preserve"> </w:t>
            </w:r>
            <w:r>
              <w:rPr>
                <w:rFonts w:ascii="Arial" w:hAnsi="Arial" w:cs="Arial"/>
                <w:sz w:val="16"/>
                <w:szCs w:val="16"/>
              </w:rPr>
              <w:t>(32.1%)</w:t>
            </w:r>
          </w:p>
        </w:tc>
        <w:tc>
          <w:tcPr>
            <w:tcW w:w="1081"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65.9%</w:t>
            </w:r>
          </w:p>
        </w:tc>
        <w:tc>
          <w:tcPr>
            <w:tcW w:w="1328"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34.1%</w:t>
            </w:r>
          </w:p>
        </w:tc>
      </w:tr>
      <w:tr w:rsidR="003A0DBE" w:rsidRPr="002E42CC" w:rsidTr="00C0246B">
        <w:tc>
          <w:tcPr>
            <w:tcW w:w="1844" w:type="dxa"/>
            <w:shd w:val="clear" w:color="auto" w:fill="8DB3E2" w:themeFill="text2" w:themeFillTint="66"/>
            <w:vAlign w:val="bottom"/>
          </w:tcPr>
          <w:p w:rsidR="00395DA2"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p>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part-time</w:t>
            </w:r>
          </w:p>
        </w:tc>
        <w:tc>
          <w:tcPr>
            <w:tcW w:w="2126"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76,384</w:t>
            </w:r>
            <w:r w:rsidR="00395DA2">
              <w:rPr>
                <w:rFonts w:ascii="Arial" w:hAnsi="Arial" w:cs="Arial"/>
                <w:sz w:val="16"/>
                <w:szCs w:val="16"/>
              </w:rPr>
              <w:t xml:space="preserve"> </w:t>
            </w:r>
            <w:r>
              <w:rPr>
                <w:rFonts w:ascii="Arial" w:hAnsi="Arial" w:cs="Arial"/>
                <w:sz w:val="16"/>
                <w:szCs w:val="16"/>
              </w:rPr>
              <w:t>(19.0%)</w:t>
            </w:r>
          </w:p>
        </w:tc>
        <w:tc>
          <w:tcPr>
            <w:tcW w:w="99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31.2%</w:t>
            </w:r>
          </w:p>
        </w:tc>
        <w:tc>
          <w:tcPr>
            <w:tcW w:w="111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68.8%</w:t>
            </w:r>
          </w:p>
        </w:tc>
        <w:tc>
          <w:tcPr>
            <w:tcW w:w="2007"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67,384</w:t>
            </w:r>
            <w:r w:rsidR="00395DA2">
              <w:rPr>
                <w:rFonts w:ascii="Arial" w:hAnsi="Arial" w:cs="Arial"/>
                <w:sz w:val="16"/>
                <w:szCs w:val="16"/>
              </w:rPr>
              <w:t xml:space="preserve"> </w:t>
            </w:r>
            <w:r>
              <w:rPr>
                <w:rFonts w:ascii="Arial" w:hAnsi="Arial" w:cs="Arial"/>
                <w:sz w:val="16"/>
                <w:szCs w:val="16"/>
              </w:rPr>
              <w:t>(17.6%)</w:t>
            </w:r>
          </w:p>
        </w:tc>
        <w:tc>
          <w:tcPr>
            <w:tcW w:w="1081"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30.2%</w:t>
            </w:r>
          </w:p>
        </w:tc>
        <w:tc>
          <w:tcPr>
            <w:tcW w:w="1328"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69.8%</w:t>
            </w:r>
          </w:p>
        </w:tc>
      </w:tr>
      <w:tr w:rsidR="003A0DBE" w:rsidRPr="002E42CC" w:rsidTr="00C0246B">
        <w:tc>
          <w:tcPr>
            <w:tcW w:w="1844"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2126"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14,826</w:t>
            </w:r>
            <w:r w:rsidR="00395DA2">
              <w:rPr>
                <w:rFonts w:ascii="Arial" w:hAnsi="Arial" w:cs="Arial"/>
                <w:sz w:val="16"/>
                <w:szCs w:val="16"/>
              </w:rPr>
              <w:t xml:space="preserve"> </w:t>
            </w:r>
            <w:r>
              <w:rPr>
                <w:rFonts w:ascii="Arial" w:hAnsi="Arial" w:cs="Arial"/>
                <w:sz w:val="16"/>
                <w:szCs w:val="16"/>
              </w:rPr>
              <w:t>(3.7%)</w:t>
            </w:r>
          </w:p>
        </w:tc>
        <w:tc>
          <w:tcPr>
            <w:tcW w:w="99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57.4%</w:t>
            </w:r>
          </w:p>
        </w:tc>
        <w:tc>
          <w:tcPr>
            <w:tcW w:w="111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42.6%</w:t>
            </w:r>
          </w:p>
        </w:tc>
        <w:tc>
          <w:tcPr>
            <w:tcW w:w="2007"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14,420</w:t>
            </w:r>
            <w:r w:rsidR="00395DA2">
              <w:rPr>
                <w:rFonts w:ascii="Arial" w:hAnsi="Arial" w:cs="Arial"/>
                <w:sz w:val="16"/>
                <w:szCs w:val="16"/>
              </w:rPr>
              <w:t xml:space="preserve"> </w:t>
            </w:r>
            <w:r>
              <w:rPr>
                <w:rFonts w:ascii="Arial" w:hAnsi="Arial" w:cs="Arial"/>
                <w:sz w:val="16"/>
                <w:szCs w:val="16"/>
              </w:rPr>
              <w:t>(3.8%)</w:t>
            </w:r>
          </w:p>
        </w:tc>
        <w:tc>
          <w:tcPr>
            <w:tcW w:w="1081"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55.6%</w:t>
            </w:r>
          </w:p>
        </w:tc>
        <w:tc>
          <w:tcPr>
            <w:tcW w:w="1328"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44.4%</w:t>
            </w:r>
          </w:p>
        </w:tc>
      </w:tr>
      <w:tr w:rsidR="003A0DBE" w:rsidRPr="002E42CC" w:rsidTr="00C0246B">
        <w:tc>
          <w:tcPr>
            <w:tcW w:w="1844"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2126"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151,378</w:t>
            </w:r>
            <w:r w:rsidR="00395DA2">
              <w:rPr>
                <w:rFonts w:ascii="Arial" w:hAnsi="Arial" w:cs="Arial"/>
                <w:sz w:val="16"/>
                <w:szCs w:val="16"/>
              </w:rPr>
              <w:t xml:space="preserve"> </w:t>
            </w:r>
            <w:r>
              <w:rPr>
                <w:rFonts w:ascii="Arial" w:hAnsi="Arial" w:cs="Arial"/>
                <w:sz w:val="16"/>
                <w:szCs w:val="16"/>
              </w:rPr>
              <w:t>(37.7%)</w:t>
            </w:r>
          </w:p>
        </w:tc>
        <w:tc>
          <w:tcPr>
            <w:tcW w:w="99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42.2%</w:t>
            </w:r>
          </w:p>
        </w:tc>
        <w:tc>
          <w:tcPr>
            <w:tcW w:w="1112"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57.8%</w:t>
            </w:r>
          </w:p>
        </w:tc>
        <w:tc>
          <w:tcPr>
            <w:tcW w:w="2007"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143,106</w:t>
            </w:r>
            <w:r w:rsidR="00395DA2">
              <w:rPr>
                <w:rFonts w:ascii="Arial" w:hAnsi="Arial" w:cs="Arial"/>
                <w:sz w:val="16"/>
                <w:szCs w:val="16"/>
              </w:rPr>
              <w:t xml:space="preserve"> </w:t>
            </w:r>
            <w:r>
              <w:rPr>
                <w:rFonts w:ascii="Arial" w:hAnsi="Arial" w:cs="Arial"/>
                <w:sz w:val="16"/>
                <w:szCs w:val="16"/>
              </w:rPr>
              <w:t>(37.4%)</w:t>
            </w:r>
          </w:p>
        </w:tc>
        <w:tc>
          <w:tcPr>
            <w:tcW w:w="1081"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40.6%</w:t>
            </w:r>
          </w:p>
        </w:tc>
        <w:tc>
          <w:tcPr>
            <w:tcW w:w="1328" w:type="dxa"/>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59.4%</w:t>
            </w:r>
          </w:p>
        </w:tc>
      </w:tr>
      <w:tr w:rsidR="003A0DBE" w:rsidRPr="002E42CC" w:rsidTr="00C0246B">
        <w:tc>
          <w:tcPr>
            <w:tcW w:w="1844" w:type="dxa"/>
            <w:tcBorders>
              <w:bottom w:val="single" w:sz="4" w:space="0" w:color="auto"/>
            </w:tcBorders>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2126" w:type="dxa"/>
            <w:tcBorders>
              <w:bottom w:val="single" w:sz="4" w:space="0" w:color="auto"/>
            </w:tcBorders>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401,483</w:t>
            </w:r>
            <w:r w:rsidR="00395DA2">
              <w:rPr>
                <w:rFonts w:ascii="Arial" w:hAnsi="Arial" w:cs="Arial"/>
                <w:sz w:val="16"/>
                <w:szCs w:val="16"/>
              </w:rPr>
              <w:t xml:space="preserve"> </w:t>
            </w:r>
            <w:r>
              <w:rPr>
                <w:rFonts w:ascii="Arial" w:hAnsi="Arial" w:cs="Arial"/>
                <w:sz w:val="16"/>
                <w:szCs w:val="16"/>
              </w:rPr>
              <w:t>(100.0%)</w:t>
            </w:r>
          </w:p>
        </w:tc>
        <w:tc>
          <w:tcPr>
            <w:tcW w:w="992" w:type="dxa"/>
            <w:tcBorders>
              <w:bottom w:val="single" w:sz="4" w:space="0" w:color="auto"/>
            </w:tcBorders>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48.5%</w:t>
            </w:r>
          </w:p>
        </w:tc>
        <w:tc>
          <w:tcPr>
            <w:tcW w:w="1112" w:type="dxa"/>
            <w:tcBorders>
              <w:bottom w:val="single" w:sz="4" w:space="0" w:color="auto"/>
            </w:tcBorders>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51.5%</w:t>
            </w:r>
          </w:p>
        </w:tc>
        <w:tc>
          <w:tcPr>
            <w:tcW w:w="2007" w:type="dxa"/>
            <w:tcBorders>
              <w:bottom w:val="single" w:sz="4" w:space="0" w:color="auto"/>
            </w:tcBorders>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382,454</w:t>
            </w:r>
            <w:r w:rsidR="00395DA2">
              <w:rPr>
                <w:rFonts w:ascii="Arial" w:hAnsi="Arial" w:cs="Arial"/>
                <w:sz w:val="16"/>
                <w:szCs w:val="16"/>
              </w:rPr>
              <w:t xml:space="preserve"> </w:t>
            </w:r>
            <w:r>
              <w:rPr>
                <w:rFonts w:ascii="Arial" w:hAnsi="Arial" w:cs="Arial"/>
                <w:sz w:val="16"/>
                <w:szCs w:val="16"/>
              </w:rPr>
              <w:t>(100.0%)</w:t>
            </w:r>
          </w:p>
        </w:tc>
        <w:tc>
          <w:tcPr>
            <w:tcW w:w="1081" w:type="dxa"/>
            <w:tcBorders>
              <w:bottom w:val="single" w:sz="4" w:space="0" w:color="auto"/>
            </w:tcBorders>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48.4%</w:t>
            </w:r>
          </w:p>
        </w:tc>
        <w:tc>
          <w:tcPr>
            <w:tcW w:w="1328" w:type="dxa"/>
            <w:tcBorders>
              <w:bottom w:val="single" w:sz="4" w:space="0" w:color="auto"/>
            </w:tcBorders>
            <w:shd w:val="clear" w:color="auto" w:fill="C6D9F1" w:themeFill="text2" w:themeFillTint="33"/>
            <w:vAlign w:val="bottom"/>
          </w:tcPr>
          <w:p w:rsidR="003A0DBE" w:rsidRDefault="003A0DBE" w:rsidP="00C0246B">
            <w:pPr>
              <w:jc w:val="right"/>
              <w:rPr>
                <w:rFonts w:ascii="Arial" w:hAnsi="Arial" w:cs="Arial"/>
                <w:sz w:val="16"/>
                <w:szCs w:val="16"/>
              </w:rPr>
            </w:pPr>
            <w:r>
              <w:rPr>
                <w:rFonts w:ascii="Arial" w:hAnsi="Arial" w:cs="Arial"/>
                <w:sz w:val="16"/>
                <w:szCs w:val="16"/>
              </w:rPr>
              <w:t>51.6%</w:t>
            </w:r>
          </w:p>
        </w:tc>
      </w:tr>
    </w:tbl>
    <w:p w:rsidR="009C247B" w:rsidRDefault="009C247B" w:rsidP="002A47EB">
      <w:pPr>
        <w:rPr>
          <w:rFonts w:ascii="Arial" w:hAnsi="Arial" w:cs="Arial"/>
          <w:b/>
        </w:rPr>
      </w:pPr>
    </w:p>
    <w:p w:rsidR="003A0DBE" w:rsidRDefault="003A0DBE" w:rsidP="003A0DBE">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 xml:space="preserve">In 2011, </w:t>
      </w:r>
      <w:r>
        <w:rPr>
          <w:rFonts w:ascii="Arial" w:hAnsi="Arial" w:cs="Arial"/>
          <w:b/>
          <w:color w:val="4F81BD" w:themeColor="accent1"/>
          <w:sz w:val="18"/>
          <w:szCs w:val="18"/>
        </w:rPr>
        <w:t>57.8</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00D062B7">
        <w:rPr>
          <w:rFonts w:ascii="Arial" w:hAnsi="Arial" w:cs="Arial"/>
          <w:b/>
          <w:color w:val="4F81BD" w:themeColor="accent1"/>
          <w:sz w:val="18"/>
          <w:szCs w:val="18"/>
        </w:rPr>
        <w:t xml:space="preserve"> in Tasmania</w:t>
      </w:r>
      <w:r w:rsidRPr="005D7C5B">
        <w:rPr>
          <w:rFonts w:ascii="Arial" w:hAnsi="Arial" w:cs="Arial"/>
          <w:b/>
          <w:color w:val="4F81BD" w:themeColor="accent1"/>
          <w:sz w:val="18"/>
          <w:szCs w:val="18"/>
        </w:rPr>
        <w:t xml:space="preserve"> aged 15 years and over </w:t>
      </w:r>
      <w:r>
        <w:rPr>
          <w:rFonts w:ascii="Arial" w:hAnsi="Arial" w:cs="Arial"/>
          <w:b/>
          <w:color w:val="4F81BD" w:themeColor="accent1"/>
          <w:sz w:val="18"/>
          <w:szCs w:val="18"/>
        </w:rPr>
        <w:t>reported being in the labour force. This is similar to 2006 when 57.3% persons reported being in the labour force.</w:t>
      </w:r>
    </w:p>
    <w:p w:rsidR="003A0DBE" w:rsidRPr="005D7C5B" w:rsidRDefault="003A0DBE" w:rsidP="003A0DBE">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In 2011, over one third (37.7%) of </w:t>
      </w:r>
      <w:r w:rsidR="00395DA2">
        <w:rPr>
          <w:rFonts w:ascii="Arial" w:hAnsi="Arial" w:cs="Arial"/>
          <w:b/>
          <w:color w:val="4F81BD" w:themeColor="accent1"/>
          <w:sz w:val="18"/>
          <w:szCs w:val="18"/>
        </w:rPr>
        <w:t>persons</w:t>
      </w:r>
      <w:r>
        <w:rPr>
          <w:rFonts w:ascii="Arial" w:hAnsi="Arial" w:cs="Arial"/>
          <w:b/>
          <w:color w:val="4F81BD" w:themeColor="accent1"/>
          <w:sz w:val="18"/>
          <w:szCs w:val="18"/>
        </w:rPr>
        <w:t xml:space="preserve"> aged 15 years and over reported not being in the labour force. There were 3.7% of persons who reported being unemployed and looking for work. The</w:t>
      </w:r>
      <w:r w:rsidR="00395DA2">
        <w:rPr>
          <w:rFonts w:ascii="Arial" w:hAnsi="Arial" w:cs="Arial"/>
          <w:b/>
          <w:color w:val="4F81BD" w:themeColor="accent1"/>
          <w:sz w:val="18"/>
          <w:szCs w:val="18"/>
        </w:rPr>
        <w:t>se</w:t>
      </w:r>
      <w:r>
        <w:rPr>
          <w:rFonts w:ascii="Arial" w:hAnsi="Arial" w:cs="Arial"/>
          <w:b/>
          <w:color w:val="4F81BD" w:themeColor="accent1"/>
          <w:sz w:val="18"/>
          <w:szCs w:val="18"/>
        </w:rPr>
        <w:t xml:space="preserve"> proportions are similar to those reported in 2006.</w:t>
      </w:r>
    </w:p>
    <w:p w:rsidR="003A0DBE" w:rsidRDefault="003A0DBE" w:rsidP="003A0DBE">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Of those who reported being employed full</w:t>
      </w:r>
      <w:r w:rsidR="00395DA2">
        <w:rPr>
          <w:rFonts w:ascii="Arial" w:hAnsi="Arial" w:cs="Arial"/>
          <w:b/>
          <w:color w:val="4F81BD" w:themeColor="accent1"/>
          <w:sz w:val="18"/>
          <w:szCs w:val="18"/>
        </w:rPr>
        <w:t>-</w:t>
      </w:r>
      <w:r w:rsidRPr="005D7C5B">
        <w:rPr>
          <w:rFonts w:ascii="Arial" w:hAnsi="Arial" w:cs="Arial"/>
          <w:b/>
          <w:color w:val="4F81BD" w:themeColor="accent1"/>
          <w:sz w:val="18"/>
          <w:szCs w:val="18"/>
        </w:rPr>
        <w:t>time</w:t>
      </w:r>
      <w:r>
        <w:rPr>
          <w:rFonts w:ascii="Arial" w:hAnsi="Arial" w:cs="Arial"/>
          <w:b/>
          <w:color w:val="4F81BD" w:themeColor="accent1"/>
          <w:sz w:val="18"/>
          <w:szCs w:val="18"/>
        </w:rPr>
        <w:t>,</w:t>
      </w:r>
      <w:r w:rsidRPr="005D7C5B">
        <w:rPr>
          <w:rFonts w:ascii="Arial" w:hAnsi="Arial" w:cs="Arial"/>
          <w:b/>
          <w:color w:val="4F81BD" w:themeColor="accent1"/>
          <w:sz w:val="18"/>
          <w:szCs w:val="18"/>
        </w:rPr>
        <w:t xml:space="preserve"> </w:t>
      </w:r>
      <w:r>
        <w:rPr>
          <w:rFonts w:ascii="Arial" w:hAnsi="Arial" w:cs="Arial"/>
          <w:b/>
          <w:color w:val="4F81BD" w:themeColor="accent1"/>
          <w:sz w:val="18"/>
          <w:szCs w:val="18"/>
        </w:rPr>
        <w:t>65.0</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35.0% were females.</w:t>
      </w:r>
    </w:p>
    <w:p w:rsidR="003A0DBE" w:rsidRDefault="003A0DBE" w:rsidP="003A0DBE">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Of those who reported being employed part-time, 31.2% were mal</w:t>
      </w:r>
      <w:r w:rsidR="00395DA2">
        <w:rPr>
          <w:rFonts w:ascii="Arial" w:hAnsi="Arial" w:cs="Arial"/>
          <w:b/>
          <w:color w:val="4F81BD" w:themeColor="accent1"/>
          <w:sz w:val="18"/>
          <w:szCs w:val="18"/>
        </w:rPr>
        <w:t>es and 68.8% were females</w:t>
      </w:r>
      <w:r>
        <w:rPr>
          <w:rFonts w:ascii="Arial" w:hAnsi="Arial" w:cs="Arial"/>
          <w:b/>
          <w:color w:val="4F81BD" w:themeColor="accent1"/>
          <w:sz w:val="18"/>
          <w:szCs w:val="18"/>
        </w:rPr>
        <w:t>.</w:t>
      </w:r>
    </w:p>
    <w:p w:rsidR="00395DA2" w:rsidRDefault="00395DA2">
      <w:pPr>
        <w:rPr>
          <w:rFonts w:ascii="Arial" w:hAnsi="Arial" w:cs="Arial"/>
          <w:b/>
        </w:rPr>
      </w:pPr>
      <w:r>
        <w:rPr>
          <w:rFonts w:ascii="Arial" w:hAnsi="Arial" w:cs="Arial"/>
          <w:b/>
        </w:rPr>
        <w:br w:type="page"/>
      </w:r>
    </w:p>
    <w:p w:rsidR="00395DA2" w:rsidRDefault="00395DA2" w:rsidP="00395DA2">
      <w:pPr>
        <w:spacing w:after="0"/>
        <w:jc w:val="center"/>
        <w:rPr>
          <w:rFonts w:ascii="Arial" w:hAnsi="Arial" w:cs="Arial"/>
          <w:b/>
          <w:sz w:val="28"/>
          <w:szCs w:val="28"/>
        </w:rPr>
      </w:pPr>
    </w:p>
    <w:p w:rsidR="00395DA2" w:rsidRDefault="00395DA2" w:rsidP="00395DA2">
      <w:pPr>
        <w:spacing w:after="0"/>
        <w:jc w:val="center"/>
        <w:rPr>
          <w:rFonts w:ascii="Arial" w:hAnsi="Arial" w:cs="Arial"/>
          <w:b/>
          <w:sz w:val="28"/>
          <w:szCs w:val="28"/>
        </w:rPr>
      </w:pPr>
    </w:p>
    <w:p w:rsidR="00395DA2" w:rsidRDefault="00395DA2" w:rsidP="00395DA2">
      <w:pPr>
        <w:spacing w:after="0"/>
        <w:jc w:val="center"/>
        <w:rPr>
          <w:rFonts w:ascii="Arial" w:hAnsi="Arial" w:cs="Arial"/>
          <w:b/>
          <w:sz w:val="28"/>
          <w:szCs w:val="28"/>
        </w:rPr>
      </w:pPr>
    </w:p>
    <w:p w:rsidR="00395DA2" w:rsidRDefault="00395DA2" w:rsidP="00395DA2">
      <w:pPr>
        <w:spacing w:after="0"/>
        <w:jc w:val="center"/>
        <w:rPr>
          <w:rFonts w:ascii="Arial" w:hAnsi="Arial" w:cs="Arial"/>
          <w:b/>
          <w:sz w:val="28"/>
          <w:szCs w:val="28"/>
        </w:rPr>
      </w:pPr>
    </w:p>
    <w:p w:rsidR="00395DA2" w:rsidRDefault="00395DA2" w:rsidP="00395DA2">
      <w:pPr>
        <w:spacing w:after="0"/>
        <w:jc w:val="center"/>
        <w:rPr>
          <w:rFonts w:ascii="Arial" w:hAnsi="Arial" w:cs="Arial"/>
          <w:b/>
          <w:sz w:val="28"/>
          <w:szCs w:val="28"/>
        </w:rPr>
      </w:pPr>
    </w:p>
    <w:p w:rsidR="00395DA2" w:rsidRPr="003836C7" w:rsidRDefault="00395DA2" w:rsidP="00395DA2">
      <w:pPr>
        <w:spacing w:after="0"/>
        <w:jc w:val="center"/>
        <w:rPr>
          <w:rFonts w:ascii="Arial" w:hAnsi="Arial" w:cs="Arial"/>
          <w:b/>
          <w:sz w:val="32"/>
          <w:szCs w:val="32"/>
        </w:rPr>
      </w:pPr>
      <w:r>
        <w:rPr>
          <w:rFonts w:ascii="Arial" w:hAnsi="Arial" w:cs="Arial"/>
          <w:b/>
          <w:sz w:val="32"/>
          <w:szCs w:val="32"/>
        </w:rPr>
        <w:t>Tasmania</w:t>
      </w:r>
    </w:p>
    <w:p w:rsidR="002A47EB" w:rsidRPr="00395DA2" w:rsidRDefault="002A47EB" w:rsidP="00395DA2">
      <w:pPr>
        <w:ind w:left="360"/>
        <w:rPr>
          <w:rFonts w:ascii="Arial" w:hAnsi="Arial" w:cs="Arial"/>
          <w:b/>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C0246B">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C0246B">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C0246B">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C0246B">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C0246B">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C0246B">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C0246B">
            <w:pPr>
              <w:jc w:val="right"/>
              <w:rPr>
                <w:rFonts w:ascii="Arial" w:hAnsi="Arial" w:cs="Arial"/>
                <w:b/>
              </w:rPr>
            </w:pPr>
            <w:r w:rsidRPr="002E42CC">
              <w:rPr>
                <w:rFonts w:ascii="Arial" w:hAnsi="Arial" w:cs="Arial"/>
                <w:b/>
              </w:rPr>
              <w:t>Female</w:t>
            </w:r>
            <w:r w:rsidR="00276567">
              <w:rPr>
                <w:rFonts w:ascii="Arial" w:hAnsi="Arial" w:cs="Arial"/>
                <w:b/>
              </w:rPr>
              <w:t>s</w:t>
            </w:r>
          </w:p>
        </w:tc>
      </w:tr>
      <w:tr w:rsidR="003A0DBE" w:rsidRPr="002E42CC" w:rsidTr="00C0246B">
        <w:tc>
          <w:tcPr>
            <w:tcW w:w="1985"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84,813</w:t>
            </w:r>
            <w:r w:rsidR="00395DA2" w:rsidRPr="00C0246B">
              <w:rPr>
                <w:rFonts w:ascii="Arial" w:hAnsi="Arial" w:cs="Arial"/>
                <w:sz w:val="18"/>
                <w:szCs w:val="18"/>
              </w:rPr>
              <w:t xml:space="preserve"> </w:t>
            </w:r>
            <w:r w:rsidRPr="00C0246B">
              <w:rPr>
                <w:rFonts w:ascii="Arial" w:hAnsi="Arial" w:cs="Arial"/>
                <w:sz w:val="18"/>
                <w:szCs w:val="18"/>
              </w:rPr>
              <w:t>(39.0%)</w:t>
            </w:r>
          </w:p>
        </w:tc>
        <w:tc>
          <w:tcPr>
            <w:tcW w:w="99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70.3%</w:t>
            </w:r>
          </w:p>
        </w:tc>
        <w:tc>
          <w:tcPr>
            <w:tcW w:w="110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29.7%</w:t>
            </w:r>
          </w:p>
        </w:tc>
        <w:tc>
          <w:tcPr>
            <w:tcW w:w="187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85,594</w:t>
            </w:r>
            <w:r w:rsidR="00395DA2" w:rsidRPr="00C0246B">
              <w:rPr>
                <w:rFonts w:ascii="Arial" w:hAnsi="Arial" w:cs="Arial"/>
                <w:sz w:val="18"/>
                <w:szCs w:val="18"/>
              </w:rPr>
              <w:t xml:space="preserve"> </w:t>
            </w:r>
            <w:r w:rsidRPr="00C0246B">
              <w:rPr>
                <w:rFonts w:ascii="Arial" w:hAnsi="Arial" w:cs="Arial"/>
                <w:sz w:val="18"/>
                <w:szCs w:val="18"/>
              </w:rPr>
              <w:t>(41.8%)</w:t>
            </w:r>
          </w:p>
        </w:tc>
        <w:tc>
          <w:tcPr>
            <w:tcW w:w="127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71.1%</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28.9%</w:t>
            </w:r>
          </w:p>
        </w:tc>
      </w:tr>
      <w:tr w:rsidR="003A0DBE" w:rsidRPr="002E42CC" w:rsidTr="00C0246B">
        <w:tc>
          <w:tcPr>
            <w:tcW w:w="1985"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41,654</w:t>
            </w:r>
            <w:r w:rsidR="00395DA2" w:rsidRPr="00C0246B">
              <w:rPr>
                <w:rFonts w:ascii="Arial" w:hAnsi="Arial" w:cs="Arial"/>
                <w:sz w:val="18"/>
                <w:szCs w:val="18"/>
              </w:rPr>
              <w:t xml:space="preserve"> </w:t>
            </w:r>
            <w:r w:rsidRPr="00C0246B">
              <w:rPr>
                <w:rFonts w:ascii="Arial" w:hAnsi="Arial" w:cs="Arial"/>
                <w:sz w:val="18"/>
                <w:szCs w:val="18"/>
              </w:rPr>
              <w:t>(19.2%)</w:t>
            </w:r>
          </w:p>
        </w:tc>
        <w:tc>
          <w:tcPr>
            <w:tcW w:w="99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54.1%</w:t>
            </w:r>
          </w:p>
        </w:tc>
        <w:tc>
          <w:tcPr>
            <w:tcW w:w="110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45.9%</w:t>
            </w:r>
          </w:p>
        </w:tc>
        <w:tc>
          <w:tcPr>
            <w:tcW w:w="187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37,222</w:t>
            </w:r>
            <w:r w:rsidR="00395DA2" w:rsidRPr="00C0246B">
              <w:rPr>
                <w:rFonts w:ascii="Arial" w:hAnsi="Arial" w:cs="Arial"/>
                <w:sz w:val="18"/>
                <w:szCs w:val="18"/>
              </w:rPr>
              <w:t xml:space="preserve"> </w:t>
            </w:r>
            <w:r w:rsidRPr="00C0246B">
              <w:rPr>
                <w:rFonts w:ascii="Arial" w:hAnsi="Arial" w:cs="Arial"/>
                <w:sz w:val="18"/>
                <w:szCs w:val="18"/>
              </w:rPr>
              <w:t>(18.2%)</w:t>
            </w:r>
          </w:p>
        </w:tc>
        <w:tc>
          <w:tcPr>
            <w:tcW w:w="127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54.2%</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45.8%</w:t>
            </w:r>
          </w:p>
        </w:tc>
      </w:tr>
      <w:tr w:rsidR="003A0DBE" w:rsidRPr="002E42CC" w:rsidTr="00C0246B">
        <w:tc>
          <w:tcPr>
            <w:tcW w:w="1985"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25,868</w:t>
            </w:r>
            <w:r w:rsidR="00395DA2" w:rsidRPr="00C0246B">
              <w:rPr>
                <w:rFonts w:ascii="Arial" w:hAnsi="Arial" w:cs="Arial"/>
                <w:sz w:val="18"/>
                <w:szCs w:val="18"/>
              </w:rPr>
              <w:t xml:space="preserve"> </w:t>
            </w:r>
            <w:r w:rsidRPr="00C0246B">
              <w:rPr>
                <w:rFonts w:ascii="Arial" w:hAnsi="Arial" w:cs="Arial"/>
                <w:sz w:val="18"/>
                <w:szCs w:val="18"/>
              </w:rPr>
              <w:t>(11.9%)</w:t>
            </w:r>
          </w:p>
        </w:tc>
        <w:tc>
          <w:tcPr>
            <w:tcW w:w="99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33.0%</w:t>
            </w:r>
          </w:p>
        </w:tc>
        <w:tc>
          <w:tcPr>
            <w:tcW w:w="110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67.0%</w:t>
            </w:r>
          </w:p>
        </w:tc>
        <w:tc>
          <w:tcPr>
            <w:tcW w:w="187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22,446</w:t>
            </w:r>
            <w:r w:rsidR="00395DA2" w:rsidRPr="00C0246B">
              <w:rPr>
                <w:rFonts w:ascii="Arial" w:hAnsi="Arial" w:cs="Arial"/>
                <w:sz w:val="18"/>
                <w:szCs w:val="18"/>
              </w:rPr>
              <w:t xml:space="preserve"> </w:t>
            </w:r>
            <w:r w:rsidRPr="00C0246B">
              <w:rPr>
                <w:rFonts w:ascii="Arial" w:hAnsi="Arial" w:cs="Arial"/>
                <w:sz w:val="18"/>
                <w:szCs w:val="18"/>
              </w:rPr>
              <w:t>(11.0%)</w:t>
            </w:r>
          </w:p>
        </w:tc>
        <w:tc>
          <w:tcPr>
            <w:tcW w:w="127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32.4%</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67.6%</w:t>
            </w:r>
          </w:p>
        </w:tc>
      </w:tr>
      <w:tr w:rsidR="003A0DBE" w:rsidRPr="002E42CC" w:rsidTr="00C0246B">
        <w:tc>
          <w:tcPr>
            <w:tcW w:w="1985"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23,354</w:t>
            </w:r>
            <w:r w:rsidR="00395DA2" w:rsidRPr="00C0246B">
              <w:rPr>
                <w:rFonts w:ascii="Arial" w:hAnsi="Arial" w:cs="Arial"/>
                <w:sz w:val="18"/>
                <w:szCs w:val="18"/>
              </w:rPr>
              <w:t xml:space="preserve"> </w:t>
            </w:r>
            <w:r w:rsidRPr="00C0246B">
              <w:rPr>
                <w:rFonts w:ascii="Arial" w:hAnsi="Arial" w:cs="Arial"/>
                <w:sz w:val="18"/>
                <w:szCs w:val="18"/>
              </w:rPr>
              <w:t>(10.7%)</w:t>
            </w:r>
          </w:p>
        </w:tc>
        <w:tc>
          <w:tcPr>
            <w:tcW w:w="99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28.4%</w:t>
            </w:r>
          </w:p>
        </w:tc>
        <w:tc>
          <w:tcPr>
            <w:tcW w:w="110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71.6%</w:t>
            </w:r>
          </w:p>
        </w:tc>
        <w:tc>
          <w:tcPr>
            <w:tcW w:w="187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20,334</w:t>
            </w:r>
            <w:r w:rsidR="00395DA2" w:rsidRPr="00C0246B">
              <w:rPr>
                <w:rFonts w:ascii="Arial" w:hAnsi="Arial" w:cs="Arial"/>
                <w:sz w:val="18"/>
                <w:szCs w:val="18"/>
              </w:rPr>
              <w:t xml:space="preserve"> </w:t>
            </w:r>
            <w:r w:rsidRPr="00C0246B">
              <w:rPr>
                <w:rFonts w:ascii="Arial" w:hAnsi="Arial" w:cs="Arial"/>
                <w:sz w:val="18"/>
                <w:szCs w:val="18"/>
              </w:rPr>
              <w:t>(9.9%)</w:t>
            </w:r>
          </w:p>
        </w:tc>
        <w:tc>
          <w:tcPr>
            <w:tcW w:w="127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26.9%</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73.1%</w:t>
            </w:r>
          </w:p>
        </w:tc>
      </w:tr>
      <w:tr w:rsidR="003A0DBE" w:rsidRPr="002E42CC" w:rsidTr="00C0246B">
        <w:tc>
          <w:tcPr>
            <w:tcW w:w="1985"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37,508</w:t>
            </w:r>
            <w:r w:rsidR="00395DA2" w:rsidRPr="00C0246B">
              <w:rPr>
                <w:rFonts w:ascii="Arial" w:hAnsi="Arial" w:cs="Arial"/>
                <w:sz w:val="18"/>
                <w:szCs w:val="18"/>
              </w:rPr>
              <w:t xml:space="preserve"> </w:t>
            </w:r>
            <w:r w:rsidRPr="00C0246B">
              <w:rPr>
                <w:rFonts w:ascii="Arial" w:hAnsi="Arial" w:cs="Arial"/>
                <w:sz w:val="18"/>
                <w:szCs w:val="18"/>
              </w:rPr>
              <w:t>(17.3%)</w:t>
            </w:r>
          </w:p>
        </w:tc>
        <w:tc>
          <w:tcPr>
            <w:tcW w:w="99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35.5%</w:t>
            </w:r>
          </w:p>
        </w:tc>
        <w:tc>
          <w:tcPr>
            <w:tcW w:w="110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64.5%</w:t>
            </w:r>
          </w:p>
        </w:tc>
        <w:tc>
          <w:tcPr>
            <w:tcW w:w="187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33,603</w:t>
            </w:r>
            <w:r w:rsidR="00395DA2" w:rsidRPr="00C0246B">
              <w:rPr>
                <w:rFonts w:ascii="Arial" w:hAnsi="Arial" w:cs="Arial"/>
                <w:sz w:val="18"/>
                <w:szCs w:val="18"/>
              </w:rPr>
              <w:t xml:space="preserve"> </w:t>
            </w:r>
            <w:r w:rsidRPr="00C0246B">
              <w:rPr>
                <w:rFonts w:ascii="Arial" w:hAnsi="Arial" w:cs="Arial"/>
                <w:sz w:val="18"/>
                <w:szCs w:val="18"/>
              </w:rPr>
              <w:t>(16.4%)</w:t>
            </w:r>
          </w:p>
        </w:tc>
        <w:tc>
          <w:tcPr>
            <w:tcW w:w="127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34.9%</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65.1%</w:t>
            </w:r>
          </w:p>
        </w:tc>
      </w:tr>
      <w:tr w:rsidR="003A0DBE" w:rsidRPr="002E42CC" w:rsidTr="00C0246B">
        <w:tc>
          <w:tcPr>
            <w:tcW w:w="1985" w:type="dxa"/>
            <w:shd w:val="clear" w:color="auto" w:fill="8DB3E2" w:themeFill="text2" w:themeFillTint="66"/>
            <w:vAlign w:val="bottom"/>
          </w:tcPr>
          <w:p w:rsidR="003A0DBE" w:rsidRPr="009C247B" w:rsidRDefault="003A0DBE" w:rsidP="00C0246B">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217,295</w:t>
            </w:r>
            <w:r w:rsidR="00395DA2" w:rsidRPr="00C0246B">
              <w:rPr>
                <w:rFonts w:ascii="Arial" w:hAnsi="Arial" w:cs="Arial"/>
                <w:sz w:val="18"/>
                <w:szCs w:val="18"/>
              </w:rPr>
              <w:t xml:space="preserve"> </w:t>
            </w:r>
            <w:r w:rsidRPr="00C0246B">
              <w:rPr>
                <w:rFonts w:ascii="Arial" w:hAnsi="Arial" w:cs="Arial"/>
                <w:sz w:val="18"/>
                <w:szCs w:val="18"/>
              </w:rPr>
              <w:t>(100.0%)</w:t>
            </w:r>
          </w:p>
        </w:tc>
        <w:tc>
          <w:tcPr>
            <w:tcW w:w="99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52.0%</w:t>
            </w:r>
          </w:p>
        </w:tc>
        <w:tc>
          <w:tcPr>
            <w:tcW w:w="110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48.0%</w:t>
            </w:r>
          </w:p>
        </w:tc>
        <w:tc>
          <w:tcPr>
            <w:tcW w:w="187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204,739 (100.0%)</w:t>
            </w:r>
          </w:p>
        </w:tc>
        <w:tc>
          <w:tcPr>
            <w:tcW w:w="1276"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53.1%</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46.9%</w:t>
            </w:r>
          </w:p>
        </w:tc>
      </w:tr>
    </w:tbl>
    <w:p w:rsidR="009C247B" w:rsidRDefault="009C247B" w:rsidP="002A47EB">
      <w:pPr>
        <w:rPr>
          <w:rFonts w:ascii="Arial" w:hAnsi="Arial" w:cs="Arial"/>
          <w:b/>
        </w:rPr>
      </w:pPr>
    </w:p>
    <w:p w:rsidR="003A0DBE" w:rsidRPr="00FD44DB" w:rsidRDefault="003A0DBE" w:rsidP="003A0DBE">
      <w:pPr>
        <w:pStyle w:val="ListParagraph"/>
        <w:numPr>
          <w:ilvl w:val="0"/>
          <w:numId w:val="6"/>
        </w:numPr>
        <w:rPr>
          <w:rFonts w:ascii="Arial" w:hAnsi="Arial" w:cs="Arial"/>
          <w:b/>
          <w:color w:val="4F81BD" w:themeColor="accent1"/>
          <w:sz w:val="18"/>
          <w:szCs w:val="18"/>
        </w:rPr>
      </w:pPr>
      <w:r w:rsidRPr="00FD44DB">
        <w:rPr>
          <w:rFonts w:ascii="Arial" w:hAnsi="Arial" w:cs="Arial"/>
          <w:b/>
          <w:color w:val="4F81BD" w:themeColor="accent1"/>
          <w:sz w:val="18"/>
          <w:szCs w:val="18"/>
        </w:rPr>
        <w:t xml:space="preserve">In 2011, </w:t>
      </w:r>
      <w:r>
        <w:rPr>
          <w:rFonts w:ascii="Arial" w:hAnsi="Arial" w:cs="Arial"/>
          <w:b/>
          <w:color w:val="4F81BD" w:themeColor="accent1"/>
          <w:sz w:val="18"/>
          <w:szCs w:val="18"/>
        </w:rPr>
        <w:t>39.0</w:t>
      </w:r>
      <w:r w:rsidRPr="00FD44DB">
        <w:rPr>
          <w:rFonts w:ascii="Arial" w:hAnsi="Arial" w:cs="Arial"/>
          <w:b/>
          <w:color w:val="4F81BD" w:themeColor="accent1"/>
          <w:sz w:val="18"/>
          <w:szCs w:val="18"/>
        </w:rPr>
        <w:t xml:space="preserve">% of those who were employed and aged 15 years and over reported working 40 hours or more in the week prior to </w:t>
      </w:r>
      <w:r w:rsidR="00D062B7">
        <w:rPr>
          <w:rFonts w:ascii="Arial" w:hAnsi="Arial" w:cs="Arial"/>
          <w:b/>
          <w:color w:val="4F81BD" w:themeColor="accent1"/>
          <w:sz w:val="18"/>
          <w:szCs w:val="18"/>
        </w:rPr>
        <w:t xml:space="preserve">the </w:t>
      </w:r>
      <w:r w:rsidRPr="00FD44DB">
        <w:rPr>
          <w:rFonts w:ascii="Arial" w:hAnsi="Arial" w:cs="Arial"/>
          <w:b/>
          <w:color w:val="4F81BD" w:themeColor="accent1"/>
          <w:sz w:val="18"/>
          <w:szCs w:val="18"/>
        </w:rPr>
        <w:t>Census. A higher proportion of these were males (</w:t>
      </w:r>
      <w:r>
        <w:rPr>
          <w:rFonts w:ascii="Arial" w:hAnsi="Arial" w:cs="Arial"/>
          <w:b/>
          <w:color w:val="4F81BD" w:themeColor="accent1"/>
          <w:sz w:val="18"/>
          <w:szCs w:val="18"/>
        </w:rPr>
        <w:t>70.3</w:t>
      </w:r>
      <w:r w:rsidRPr="00FD44DB">
        <w:rPr>
          <w:rFonts w:ascii="Arial" w:hAnsi="Arial" w:cs="Arial"/>
          <w:b/>
          <w:color w:val="4F81BD" w:themeColor="accent1"/>
          <w:sz w:val="18"/>
          <w:szCs w:val="18"/>
        </w:rPr>
        <w:t>%).</w:t>
      </w:r>
    </w:p>
    <w:p w:rsidR="003A0DBE" w:rsidRDefault="003A0DBE" w:rsidP="003A0DBE">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 there was a 2.8 percentage point decline in the proportion of persons who reported working 40 hours or more (41.8% in 2006 compared to 39.0% in 2011).</w:t>
      </w:r>
    </w:p>
    <w:p w:rsidR="003A0DBE" w:rsidRPr="00830121" w:rsidRDefault="003A0DBE" w:rsidP="003A0DBE">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There were 17.3% of </w:t>
      </w:r>
      <w:r w:rsidR="00395DA2">
        <w:rPr>
          <w:rFonts w:ascii="Arial" w:hAnsi="Arial" w:cs="Arial"/>
          <w:b/>
          <w:color w:val="4F81BD" w:themeColor="accent1"/>
          <w:sz w:val="18"/>
          <w:szCs w:val="18"/>
        </w:rPr>
        <w:t>employed persons, aged 15 years and over</w:t>
      </w:r>
      <w:r>
        <w:rPr>
          <w:rFonts w:ascii="Arial" w:hAnsi="Arial" w:cs="Arial"/>
          <w:b/>
          <w:color w:val="4F81BD" w:themeColor="accent1"/>
          <w:sz w:val="18"/>
          <w:szCs w:val="18"/>
        </w:rPr>
        <w:t xml:space="preserve"> who reported working 0 to 15 hours in the week prior to </w:t>
      </w:r>
      <w:r w:rsidR="00D062B7">
        <w:rPr>
          <w:rFonts w:ascii="Arial" w:hAnsi="Arial" w:cs="Arial"/>
          <w:b/>
          <w:color w:val="4F81BD" w:themeColor="accent1"/>
          <w:sz w:val="18"/>
          <w:szCs w:val="18"/>
        </w:rPr>
        <w:t xml:space="preserve">the </w:t>
      </w:r>
      <w:r>
        <w:rPr>
          <w:rFonts w:ascii="Arial" w:hAnsi="Arial" w:cs="Arial"/>
          <w:b/>
          <w:color w:val="4F81BD" w:themeColor="accent1"/>
          <w:sz w:val="18"/>
          <w:szCs w:val="18"/>
        </w:rPr>
        <w:t>Census. A higher proportion of these were females (64.5%).</w:t>
      </w:r>
    </w:p>
    <w:p w:rsidR="00395DA2" w:rsidRDefault="00395DA2">
      <w:pPr>
        <w:rPr>
          <w:rFonts w:ascii="Arial" w:hAnsi="Arial" w:cs="Arial"/>
          <w:b/>
          <w:color w:val="000000" w:themeColor="text1"/>
        </w:rPr>
      </w:pPr>
      <w:r>
        <w:rPr>
          <w:rFonts w:ascii="Arial" w:hAnsi="Arial" w:cs="Arial"/>
          <w:b/>
          <w:color w:val="000000" w:themeColor="text1"/>
        </w:rPr>
        <w:br w:type="page"/>
      </w:r>
    </w:p>
    <w:p w:rsidR="00BF1EC3" w:rsidRDefault="00BF1EC3"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3A0DBE" w:rsidRPr="003836C7" w:rsidRDefault="003A0DBE" w:rsidP="003A0DBE">
      <w:pPr>
        <w:spacing w:after="0"/>
        <w:jc w:val="center"/>
        <w:rPr>
          <w:rFonts w:ascii="Arial" w:hAnsi="Arial" w:cs="Arial"/>
          <w:b/>
          <w:sz w:val="32"/>
          <w:szCs w:val="32"/>
        </w:rPr>
      </w:pPr>
      <w:r>
        <w:rPr>
          <w:rFonts w:ascii="Arial" w:hAnsi="Arial" w:cs="Arial"/>
          <w:b/>
          <w:sz w:val="32"/>
          <w:szCs w:val="32"/>
        </w:rPr>
        <w:t>Tasmania</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395DA2">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Pr="00433831">
        <w:rPr>
          <w:rFonts w:ascii="Arial" w:hAnsi="Arial" w:cs="Arial"/>
          <w:b/>
          <w:color w:val="000000" w:themeColor="text1"/>
          <w:sz w:val="28"/>
          <w:szCs w:val="28"/>
        </w:rPr>
        <w:t>Industries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C0246B">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C0246B">
            <w:pPr>
              <w:jc w:val="right"/>
              <w:rPr>
                <w:rFonts w:ascii="Arial" w:hAnsi="Arial" w:cs="Arial"/>
                <w:b/>
              </w:rPr>
            </w:pPr>
            <w:r>
              <w:rPr>
                <w:rFonts w:ascii="Arial" w:hAnsi="Arial" w:cs="Arial"/>
                <w:b/>
              </w:rPr>
              <w:t>Total</w:t>
            </w:r>
          </w:p>
        </w:tc>
        <w:tc>
          <w:tcPr>
            <w:tcW w:w="993"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276567" w:rsidRPr="002E42CC" w:rsidRDefault="00276567" w:rsidP="00C0246B">
            <w:pPr>
              <w:jc w:val="right"/>
              <w:rPr>
                <w:rFonts w:ascii="Arial" w:hAnsi="Arial" w:cs="Arial"/>
                <w:b/>
              </w:rPr>
            </w:pPr>
            <w:r>
              <w:rPr>
                <w:rFonts w:ascii="Arial" w:hAnsi="Arial" w:cs="Arial"/>
                <w:b/>
              </w:rPr>
              <w:t>Total</w:t>
            </w:r>
          </w:p>
        </w:tc>
        <w:tc>
          <w:tcPr>
            <w:tcW w:w="851"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Female</w:t>
            </w:r>
            <w:r>
              <w:rPr>
                <w:rFonts w:ascii="Arial" w:hAnsi="Arial" w:cs="Arial"/>
                <w:b/>
              </w:rPr>
              <w:t>s</w:t>
            </w:r>
          </w:p>
        </w:tc>
      </w:tr>
      <w:tr w:rsidR="003A0DBE" w:rsidRPr="008B58A5" w:rsidTr="00C0246B">
        <w:tc>
          <w:tcPr>
            <w:tcW w:w="2269"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Health Care and Social Assistance</w:t>
            </w:r>
          </w:p>
        </w:tc>
        <w:tc>
          <w:tcPr>
            <w:tcW w:w="1984"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26,031</w:t>
            </w:r>
            <w:r w:rsidR="00395DA2" w:rsidRPr="00C0246B">
              <w:rPr>
                <w:rFonts w:ascii="Arial" w:hAnsi="Arial" w:cs="Arial"/>
                <w:sz w:val="18"/>
                <w:szCs w:val="18"/>
              </w:rPr>
              <w:t xml:space="preserve"> </w:t>
            </w:r>
            <w:r w:rsidRPr="00C0246B">
              <w:rPr>
                <w:rFonts w:ascii="Arial" w:hAnsi="Arial" w:cs="Arial"/>
                <w:sz w:val="18"/>
                <w:szCs w:val="18"/>
              </w:rPr>
              <w:t>(12.0%)</w:t>
            </w:r>
          </w:p>
        </w:tc>
        <w:tc>
          <w:tcPr>
            <w:tcW w:w="99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19.9%</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80.1%</w:t>
            </w:r>
          </w:p>
        </w:tc>
        <w:tc>
          <w:tcPr>
            <w:tcW w:w="1843" w:type="dxa"/>
            <w:shd w:val="clear" w:color="auto" w:fill="C6D9F1" w:themeFill="text2" w:themeFillTint="33"/>
            <w:vAlign w:val="bottom"/>
          </w:tcPr>
          <w:p w:rsidR="003A0DBE" w:rsidRPr="00C0246B" w:rsidRDefault="003A0DBE" w:rsidP="00C0246B">
            <w:pPr>
              <w:jc w:val="right"/>
              <w:rPr>
                <w:rFonts w:ascii="Arial" w:hAnsi="Arial" w:cs="Arial"/>
                <w:sz w:val="18"/>
                <w:szCs w:val="18"/>
              </w:rPr>
            </w:pPr>
          </w:p>
          <w:p w:rsidR="003A0DBE" w:rsidRPr="00C0246B" w:rsidRDefault="003A0DBE" w:rsidP="00C0246B">
            <w:pPr>
              <w:jc w:val="right"/>
              <w:rPr>
                <w:rFonts w:ascii="Arial" w:hAnsi="Arial" w:cs="Arial"/>
                <w:sz w:val="18"/>
                <w:szCs w:val="18"/>
              </w:rPr>
            </w:pPr>
            <w:r w:rsidRPr="00C0246B">
              <w:rPr>
                <w:rFonts w:ascii="Arial" w:hAnsi="Arial" w:cs="Arial"/>
                <w:sz w:val="18"/>
                <w:szCs w:val="18"/>
              </w:rPr>
              <w:t>23,363</w:t>
            </w:r>
            <w:r w:rsidR="00222667" w:rsidRPr="00C0246B">
              <w:rPr>
                <w:rFonts w:ascii="Arial" w:hAnsi="Arial" w:cs="Arial"/>
                <w:sz w:val="18"/>
                <w:szCs w:val="18"/>
              </w:rPr>
              <w:t xml:space="preserve"> </w:t>
            </w:r>
            <w:r w:rsidRPr="00C0246B">
              <w:rPr>
                <w:rFonts w:ascii="Arial" w:hAnsi="Arial" w:cs="Arial"/>
                <w:sz w:val="18"/>
                <w:szCs w:val="18"/>
              </w:rPr>
              <w:t>(11.4%)</w:t>
            </w:r>
          </w:p>
        </w:tc>
        <w:tc>
          <w:tcPr>
            <w:tcW w:w="851"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20.5%</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79.5%</w:t>
            </w:r>
          </w:p>
        </w:tc>
      </w:tr>
      <w:tr w:rsidR="003A0DBE" w:rsidRPr="008B58A5" w:rsidTr="00C0246B">
        <w:tc>
          <w:tcPr>
            <w:tcW w:w="2269"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 xml:space="preserve">Retail Trade </w:t>
            </w:r>
          </w:p>
        </w:tc>
        <w:tc>
          <w:tcPr>
            <w:tcW w:w="1984"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24,543</w:t>
            </w:r>
            <w:r w:rsidR="00395DA2" w:rsidRPr="00C0246B">
              <w:rPr>
                <w:rFonts w:ascii="Arial" w:hAnsi="Arial" w:cs="Arial"/>
                <w:sz w:val="18"/>
                <w:szCs w:val="18"/>
              </w:rPr>
              <w:t xml:space="preserve"> </w:t>
            </w:r>
            <w:r w:rsidRPr="00C0246B">
              <w:rPr>
                <w:rFonts w:ascii="Arial" w:hAnsi="Arial" w:cs="Arial"/>
                <w:sz w:val="18"/>
                <w:szCs w:val="18"/>
              </w:rPr>
              <w:t>(11.3%)</w:t>
            </w:r>
          </w:p>
        </w:tc>
        <w:tc>
          <w:tcPr>
            <w:tcW w:w="99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41.4%</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58.6%</w:t>
            </w:r>
          </w:p>
        </w:tc>
        <w:tc>
          <w:tcPr>
            <w:tcW w:w="1843" w:type="dxa"/>
            <w:shd w:val="clear" w:color="auto" w:fill="C6D9F1" w:themeFill="text2" w:themeFillTint="33"/>
            <w:vAlign w:val="bottom"/>
          </w:tcPr>
          <w:p w:rsidR="003A0DBE" w:rsidRPr="00C0246B" w:rsidRDefault="003A0DBE" w:rsidP="00C0246B">
            <w:pPr>
              <w:jc w:val="right"/>
              <w:rPr>
                <w:rFonts w:ascii="Arial" w:hAnsi="Arial" w:cs="Arial"/>
                <w:sz w:val="18"/>
                <w:szCs w:val="18"/>
              </w:rPr>
            </w:pPr>
          </w:p>
          <w:p w:rsidR="003A0DBE" w:rsidRPr="00C0246B" w:rsidRDefault="003A0DBE" w:rsidP="00C0246B">
            <w:pPr>
              <w:jc w:val="right"/>
              <w:rPr>
                <w:rFonts w:ascii="Arial" w:hAnsi="Arial" w:cs="Arial"/>
                <w:sz w:val="18"/>
                <w:szCs w:val="18"/>
              </w:rPr>
            </w:pPr>
            <w:r w:rsidRPr="00C0246B">
              <w:rPr>
                <w:rFonts w:ascii="Arial" w:hAnsi="Arial" w:cs="Arial"/>
                <w:sz w:val="18"/>
                <w:szCs w:val="18"/>
              </w:rPr>
              <w:t>24,438</w:t>
            </w:r>
            <w:r w:rsidR="00222667" w:rsidRPr="00C0246B">
              <w:rPr>
                <w:rFonts w:ascii="Arial" w:hAnsi="Arial" w:cs="Arial"/>
                <w:sz w:val="18"/>
                <w:szCs w:val="18"/>
              </w:rPr>
              <w:t xml:space="preserve"> </w:t>
            </w:r>
            <w:r w:rsidRPr="00C0246B">
              <w:rPr>
                <w:rFonts w:ascii="Arial" w:hAnsi="Arial" w:cs="Arial"/>
                <w:sz w:val="18"/>
                <w:szCs w:val="18"/>
              </w:rPr>
              <w:t>(11.9%)</w:t>
            </w:r>
          </w:p>
        </w:tc>
        <w:tc>
          <w:tcPr>
            <w:tcW w:w="851"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42.3%</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57.7%</w:t>
            </w:r>
          </w:p>
        </w:tc>
      </w:tr>
      <w:tr w:rsidR="003A0DBE" w:rsidRPr="008B58A5" w:rsidTr="00C0246B">
        <w:tc>
          <w:tcPr>
            <w:tcW w:w="2269"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Public Administration and Safety</w:t>
            </w:r>
          </w:p>
        </w:tc>
        <w:tc>
          <w:tcPr>
            <w:tcW w:w="1984"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19,593</w:t>
            </w:r>
            <w:r w:rsidR="00395DA2" w:rsidRPr="00C0246B">
              <w:rPr>
                <w:rFonts w:ascii="Arial" w:hAnsi="Arial" w:cs="Arial"/>
                <w:sz w:val="18"/>
                <w:szCs w:val="18"/>
              </w:rPr>
              <w:t xml:space="preserve"> </w:t>
            </w:r>
            <w:r w:rsidRPr="00C0246B">
              <w:rPr>
                <w:rFonts w:ascii="Arial" w:hAnsi="Arial" w:cs="Arial"/>
                <w:sz w:val="18"/>
                <w:szCs w:val="18"/>
              </w:rPr>
              <w:t>(9.0%)</w:t>
            </w:r>
          </w:p>
        </w:tc>
        <w:tc>
          <w:tcPr>
            <w:tcW w:w="99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45.9%</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54.1%</w:t>
            </w:r>
          </w:p>
        </w:tc>
        <w:tc>
          <w:tcPr>
            <w:tcW w:w="184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17,231</w:t>
            </w:r>
            <w:r w:rsidR="00222667" w:rsidRPr="00C0246B">
              <w:rPr>
                <w:rFonts w:ascii="Arial" w:hAnsi="Arial" w:cs="Arial"/>
                <w:sz w:val="18"/>
                <w:szCs w:val="18"/>
              </w:rPr>
              <w:t xml:space="preserve"> </w:t>
            </w:r>
            <w:r w:rsidRPr="00C0246B">
              <w:rPr>
                <w:rFonts w:ascii="Arial" w:hAnsi="Arial" w:cs="Arial"/>
                <w:sz w:val="18"/>
                <w:szCs w:val="18"/>
              </w:rPr>
              <w:t>(8.4%)</w:t>
            </w:r>
          </w:p>
        </w:tc>
        <w:tc>
          <w:tcPr>
            <w:tcW w:w="851"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49.6%</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50.4%</w:t>
            </w:r>
          </w:p>
        </w:tc>
      </w:tr>
      <w:tr w:rsidR="003A0DBE" w:rsidRPr="008B58A5" w:rsidTr="00C0246B">
        <w:tc>
          <w:tcPr>
            <w:tcW w:w="2269"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Education and Training</w:t>
            </w:r>
          </w:p>
        </w:tc>
        <w:tc>
          <w:tcPr>
            <w:tcW w:w="1984"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19,458</w:t>
            </w:r>
            <w:r w:rsidR="00395DA2" w:rsidRPr="00C0246B">
              <w:rPr>
                <w:rFonts w:ascii="Arial" w:hAnsi="Arial" w:cs="Arial"/>
                <w:sz w:val="18"/>
                <w:szCs w:val="18"/>
              </w:rPr>
              <w:t xml:space="preserve"> </w:t>
            </w:r>
            <w:r w:rsidRPr="00C0246B">
              <w:rPr>
                <w:rFonts w:ascii="Arial" w:hAnsi="Arial" w:cs="Arial"/>
                <w:sz w:val="18"/>
                <w:szCs w:val="18"/>
              </w:rPr>
              <w:t>(9.0%)</w:t>
            </w:r>
          </w:p>
        </w:tc>
        <w:tc>
          <w:tcPr>
            <w:tcW w:w="99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30.4%</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69.6%</w:t>
            </w:r>
          </w:p>
        </w:tc>
        <w:tc>
          <w:tcPr>
            <w:tcW w:w="184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16,929</w:t>
            </w:r>
            <w:r w:rsidR="00222667" w:rsidRPr="00C0246B">
              <w:rPr>
                <w:rFonts w:ascii="Arial" w:hAnsi="Arial" w:cs="Arial"/>
                <w:sz w:val="18"/>
                <w:szCs w:val="18"/>
              </w:rPr>
              <w:t xml:space="preserve"> </w:t>
            </w:r>
            <w:r w:rsidRPr="00C0246B">
              <w:rPr>
                <w:rFonts w:ascii="Arial" w:hAnsi="Arial" w:cs="Arial"/>
                <w:sz w:val="18"/>
                <w:szCs w:val="18"/>
              </w:rPr>
              <w:t>(8.3%)</w:t>
            </w:r>
          </w:p>
        </w:tc>
        <w:tc>
          <w:tcPr>
            <w:tcW w:w="851"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32.1%</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67.9%</w:t>
            </w:r>
          </w:p>
        </w:tc>
      </w:tr>
      <w:tr w:rsidR="003A0DBE" w:rsidRPr="008B58A5" w:rsidTr="00C0246B">
        <w:tc>
          <w:tcPr>
            <w:tcW w:w="2269"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Manufacturing</w:t>
            </w:r>
          </w:p>
        </w:tc>
        <w:tc>
          <w:tcPr>
            <w:tcW w:w="1984"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18,968</w:t>
            </w:r>
            <w:r w:rsidR="00395DA2" w:rsidRPr="00C0246B">
              <w:rPr>
                <w:rFonts w:ascii="Arial" w:hAnsi="Arial" w:cs="Arial"/>
                <w:sz w:val="18"/>
                <w:szCs w:val="18"/>
              </w:rPr>
              <w:t xml:space="preserve"> </w:t>
            </w:r>
            <w:r w:rsidRPr="00C0246B">
              <w:rPr>
                <w:rFonts w:ascii="Arial" w:hAnsi="Arial" w:cs="Arial"/>
                <w:sz w:val="18"/>
                <w:szCs w:val="18"/>
              </w:rPr>
              <w:t>(8.7%)</w:t>
            </w:r>
          </w:p>
        </w:tc>
        <w:tc>
          <w:tcPr>
            <w:tcW w:w="99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76.4%</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23.6%</w:t>
            </w:r>
          </w:p>
        </w:tc>
        <w:tc>
          <w:tcPr>
            <w:tcW w:w="1843" w:type="dxa"/>
            <w:shd w:val="clear" w:color="auto" w:fill="C6D9F1" w:themeFill="text2" w:themeFillTint="33"/>
            <w:vAlign w:val="bottom"/>
          </w:tcPr>
          <w:p w:rsidR="003A0DBE" w:rsidRPr="00C0246B" w:rsidRDefault="003A0DBE" w:rsidP="00C0246B">
            <w:pPr>
              <w:jc w:val="right"/>
              <w:rPr>
                <w:rFonts w:ascii="Arial" w:hAnsi="Arial" w:cs="Arial"/>
                <w:sz w:val="18"/>
                <w:szCs w:val="18"/>
              </w:rPr>
            </w:pPr>
          </w:p>
          <w:p w:rsidR="003A0DBE" w:rsidRPr="00C0246B" w:rsidRDefault="003A0DBE" w:rsidP="00C0246B">
            <w:pPr>
              <w:jc w:val="right"/>
              <w:rPr>
                <w:rFonts w:ascii="Arial" w:hAnsi="Arial" w:cs="Arial"/>
                <w:sz w:val="18"/>
                <w:szCs w:val="18"/>
              </w:rPr>
            </w:pPr>
            <w:r w:rsidRPr="00C0246B">
              <w:rPr>
                <w:rFonts w:ascii="Arial" w:hAnsi="Arial" w:cs="Arial"/>
                <w:sz w:val="18"/>
                <w:szCs w:val="18"/>
              </w:rPr>
              <w:t>21,177</w:t>
            </w:r>
            <w:r w:rsidR="00222667" w:rsidRPr="00C0246B">
              <w:rPr>
                <w:rFonts w:ascii="Arial" w:hAnsi="Arial" w:cs="Arial"/>
                <w:sz w:val="18"/>
                <w:szCs w:val="18"/>
              </w:rPr>
              <w:t xml:space="preserve"> </w:t>
            </w:r>
            <w:r w:rsidRPr="00C0246B">
              <w:rPr>
                <w:rFonts w:ascii="Arial" w:hAnsi="Arial" w:cs="Arial"/>
                <w:sz w:val="18"/>
                <w:szCs w:val="18"/>
              </w:rPr>
              <w:t>(10.3%)</w:t>
            </w:r>
          </w:p>
        </w:tc>
        <w:tc>
          <w:tcPr>
            <w:tcW w:w="851"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76.4%</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23.6%</w:t>
            </w:r>
          </w:p>
        </w:tc>
      </w:tr>
      <w:tr w:rsidR="003A0DBE" w:rsidRPr="008B58A5" w:rsidTr="00C0246B">
        <w:tc>
          <w:tcPr>
            <w:tcW w:w="2269" w:type="dxa"/>
            <w:shd w:val="clear" w:color="auto" w:fill="8DB3E2" w:themeFill="text2" w:themeFillTint="66"/>
            <w:vAlign w:val="bottom"/>
          </w:tcPr>
          <w:p w:rsidR="003A0DBE" w:rsidRPr="00C0246B" w:rsidRDefault="003A0DBE" w:rsidP="00C0246B">
            <w:pPr>
              <w:rPr>
                <w:rFonts w:ascii="Arial" w:hAnsi="Arial" w:cs="Arial"/>
                <w:color w:val="000000" w:themeColor="text1"/>
                <w:sz w:val="18"/>
                <w:szCs w:val="18"/>
              </w:rPr>
            </w:pPr>
            <w:r w:rsidRPr="00C0246B">
              <w:rPr>
                <w:rFonts w:ascii="Arial" w:hAnsi="Arial" w:cs="Arial"/>
                <w:color w:val="000000" w:themeColor="text1"/>
                <w:sz w:val="18"/>
                <w:szCs w:val="18"/>
              </w:rPr>
              <w:t>Total persons</w:t>
            </w:r>
          </w:p>
        </w:tc>
        <w:tc>
          <w:tcPr>
            <w:tcW w:w="1984"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217,295 (100.0%)</w:t>
            </w:r>
          </w:p>
        </w:tc>
        <w:tc>
          <w:tcPr>
            <w:tcW w:w="993"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52.0%</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48.0%</w:t>
            </w:r>
          </w:p>
        </w:tc>
        <w:tc>
          <w:tcPr>
            <w:tcW w:w="1843" w:type="dxa"/>
            <w:shd w:val="clear" w:color="auto" w:fill="C6D9F1" w:themeFill="text2" w:themeFillTint="33"/>
            <w:vAlign w:val="bottom"/>
          </w:tcPr>
          <w:p w:rsidR="003A0DBE" w:rsidRPr="00C0246B" w:rsidRDefault="003A0DBE" w:rsidP="00C0246B">
            <w:pPr>
              <w:jc w:val="right"/>
              <w:rPr>
                <w:rFonts w:ascii="Arial" w:hAnsi="Arial" w:cs="Arial"/>
                <w:sz w:val="18"/>
                <w:szCs w:val="18"/>
              </w:rPr>
            </w:pPr>
          </w:p>
          <w:p w:rsidR="003A0DBE" w:rsidRPr="00C0246B" w:rsidRDefault="003A0DBE" w:rsidP="00C0246B">
            <w:pPr>
              <w:jc w:val="right"/>
              <w:rPr>
                <w:rFonts w:ascii="Arial" w:hAnsi="Arial" w:cs="Arial"/>
                <w:sz w:val="18"/>
                <w:szCs w:val="18"/>
              </w:rPr>
            </w:pPr>
            <w:r w:rsidRPr="00C0246B">
              <w:rPr>
                <w:rFonts w:ascii="Arial" w:hAnsi="Arial" w:cs="Arial"/>
                <w:sz w:val="18"/>
                <w:szCs w:val="18"/>
              </w:rPr>
              <w:t>204,739</w:t>
            </w:r>
            <w:r w:rsidR="00222667" w:rsidRPr="00C0246B">
              <w:rPr>
                <w:rFonts w:ascii="Arial" w:hAnsi="Arial" w:cs="Arial"/>
                <w:sz w:val="18"/>
                <w:szCs w:val="18"/>
              </w:rPr>
              <w:t xml:space="preserve"> </w:t>
            </w:r>
            <w:r w:rsidRPr="00C0246B">
              <w:rPr>
                <w:rFonts w:ascii="Arial" w:hAnsi="Arial" w:cs="Arial"/>
                <w:sz w:val="18"/>
                <w:szCs w:val="18"/>
              </w:rPr>
              <w:t>(100.0%)</w:t>
            </w:r>
          </w:p>
        </w:tc>
        <w:tc>
          <w:tcPr>
            <w:tcW w:w="851"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53.1%</w:t>
            </w:r>
          </w:p>
        </w:tc>
        <w:tc>
          <w:tcPr>
            <w:tcW w:w="1275"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46.9%</w:t>
            </w:r>
          </w:p>
        </w:tc>
      </w:tr>
    </w:tbl>
    <w:p w:rsidR="002A47EB" w:rsidRDefault="002A47EB" w:rsidP="00726F2A">
      <w:pPr>
        <w:rPr>
          <w:rFonts w:ascii="Arial" w:hAnsi="Arial" w:cs="Arial"/>
          <w:b/>
        </w:rPr>
      </w:pPr>
    </w:p>
    <w:p w:rsidR="003A0DBE" w:rsidRDefault="003A0DBE" w:rsidP="003A0DBE">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In 2011, the largest</w:t>
      </w:r>
      <w:r w:rsidR="00D062B7">
        <w:rPr>
          <w:rFonts w:ascii="Arial" w:hAnsi="Arial" w:cs="Arial"/>
          <w:b/>
          <w:color w:val="4F81BD" w:themeColor="accent1"/>
          <w:sz w:val="18"/>
          <w:szCs w:val="18"/>
        </w:rPr>
        <w:t xml:space="preserve"> proportion of employed persons</w:t>
      </w:r>
      <w:r w:rsidRPr="00BB4CAD">
        <w:rPr>
          <w:rFonts w:ascii="Arial" w:hAnsi="Arial" w:cs="Arial"/>
          <w:b/>
          <w:color w:val="4F81BD" w:themeColor="accent1"/>
          <w:sz w:val="18"/>
          <w:szCs w:val="18"/>
        </w:rPr>
        <w:t xml:space="preserve"> </w:t>
      </w:r>
      <w:r w:rsidR="00D062B7">
        <w:rPr>
          <w:rFonts w:ascii="Arial" w:hAnsi="Arial" w:cs="Arial"/>
          <w:b/>
          <w:color w:val="4F81BD" w:themeColor="accent1"/>
          <w:sz w:val="18"/>
          <w:szCs w:val="18"/>
        </w:rPr>
        <w:t xml:space="preserve">in Tasmania </w:t>
      </w:r>
      <w:r w:rsidRPr="00BB4CAD">
        <w:rPr>
          <w:rFonts w:ascii="Arial" w:hAnsi="Arial" w:cs="Arial"/>
          <w:b/>
          <w:color w:val="4F81BD" w:themeColor="accent1"/>
          <w:sz w:val="18"/>
          <w:szCs w:val="18"/>
        </w:rPr>
        <w:t>aged 15 years and over</w:t>
      </w:r>
      <w:r w:rsidR="00D062B7">
        <w:rPr>
          <w:rFonts w:ascii="Arial" w:hAnsi="Arial" w:cs="Arial"/>
          <w:b/>
          <w:color w:val="4F81BD" w:themeColor="accent1"/>
          <w:sz w:val="18"/>
          <w:szCs w:val="18"/>
        </w:rPr>
        <w:t xml:space="preserve"> </w:t>
      </w:r>
      <w:r w:rsidRPr="00BB4CAD">
        <w:rPr>
          <w:rFonts w:ascii="Arial" w:hAnsi="Arial" w:cs="Arial"/>
          <w:b/>
          <w:color w:val="4F81BD" w:themeColor="accent1"/>
          <w:sz w:val="18"/>
          <w:szCs w:val="18"/>
        </w:rPr>
        <w:t>reported working in the He</w:t>
      </w:r>
      <w:r w:rsidR="00D062B7">
        <w:rPr>
          <w:rFonts w:ascii="Arial" w:hAnsi="Arial" w:cs="Arial"/>
          <w:b/>
          <w:color w:val="4F81BD" w:themeColor="accent1"/>
          <w:sz w:val="18"/>
          <w:szCs w:val="18"/>
        </w:rPr>
        <w:t xml:space="preserve">alth Care and Social Assistance </w:t>
      </w:r>
      <w:r w:rsidR="00222667">
        <w:rPr>
          <w:rFonts w:ascii="Arial" w:hAnsi="Arial" w:cs="Arial"/>
          <w:b/>
          <w:color w:val="4F81BD" w:themeColor="accent1"/>
          <w:sz w:val="18"/>
          <w:szCs w:val="18"/>
        </w:rPr>
        <w:t>i</w:t>
      </w:r>
      <w:r w:rsidRPr="00BB4CAD">
        <w:rPr>
          <w:rFonts w:ascii="Arial" w:hAnsi="Arial" w:cs="Arial"/>
          <w:b/>
          <w:color w:val="4F81BD" w:themeColor="accent1"/>
          <w:sz w:val="18"/>
          <w:szCs w:val="18"/>
        </w:rPr>
        <w:t>ndustry (1</w:t>
      </w:r>
      <w:r>
        <w:rPr>
          <w:rFonts w:ascii="Arial" w:hAnsi="Arial" w:cs="Arial"/>
          <w:b/>
          <w:color w:val="4F81BD" w:themeColor="accent1"/>
          <w:sz w:val="18"/>
          <w:szCs w:val="18"/>
        </w:rPr>
        <w:t>2.0</w:t>
      </w:r>
      <w:r w:rsidRPr="00BB4CAD">
        <w:rPr>
          <w:rFonts w:ascii="Arial" w:hAnsi="Arial" w:cs="Arial"/>
          <w:b/>
          <w:color w:val="4F81BD" w:themeColor="accent1"/>
          <w:sz w:val="18"/>
          <w:szCs w:val="18"/>
        </w:rPr>
        <w:t xml:space="preserve">%). </w:t>
      </w:r>
    </w:p>
    <w:p w:rsidR="003A0DBE" w:rsidRPr="00BB4CAD" w:rsidRDefault="003A0DBE" w:rsidP="003A0DBE">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In 2006, the Retail Trade industry was the most reported response for employed persons</w:t>
      </w:r>
      <w:r>
        <w:rPr>
          <w:rFonts w:ascii="Arial" w:hAnsi="Arial" w:cs="Arial"/>
          <w:b/>
          <w:bCs/>
          <w:color w:val="4181C0"/>
          <w:sz w:val="18"/>
          <w:szCs w:val="18"/>
        </w:rPr>
        <w:t xml:space="preserve"> aged 15 years and over (11.9</w:t>
      </w:r>
      <w:r w:rsidRPr="00BB4CAD">
        <w:rPr>
          <w:rFonts w:ascii="Arial" w:hAnsi="Arial" w:cs="Arial"/>
          <w:b/>
          <w:bCs/>
          <w:color w:val="4181C0"/>
          <w:sz w:val="18"/>
          <w:szCs w:val="18"/>
        </w:rPr>
        <w:t>%). The proportion of those who reported being part of this industry declined to 1</w:t>
      </w:r>
      <w:r>
        <w:rPr>
          <w:rFonts w:ascii="Arial" w:hAnsi="Arial" w:cs="Arial"/>
          <w:b/>
          <w:bCs/>
          <w:color w:val="4181C0"/>
          <w:sz w:val="18"/>
          <w:szCs w:val="18"/>
        </w:rPr>
        <w:t xml:space="preserve">1.3% in 2011, however the number </w:t>
      </w:r>
      <w:r w:rsidRPr="00BB4CAD">
        <w:rPr>
          <w:rFonts w:ascii="Arial" w:hAnsi="Arial" w:cs="Arial"/>
          <w:b/>
          <w:bCs/>
          <w:color w:val="4181C0"/>
          <w:sz w:val="18"/>
          <w:szCs w:val="18"/>
        </w:rPr>
        <w:t>of pe</w:t>
      </w:r>
      <w:r>
        <w:rPr>
          <w:rFonts w:ascii="Arial" w:hAnsi="Arial" w:cs="Arial"/>
          <w:b/>
          <w:bCs/>
          <w:color w:val="4181C0"/>
          <w:sz w:val="18"/>
          <w:szCs w:val="18"/>
        </w:rPr>
        <w:t>rsons employed in this industry have remained similar between 2006 (24,438 persons) and 2011 (24,543 persons).</w:t>
      </w:r>
    </w:p>
    <w:p w:rsidR="003A0DBE" w:rsidRPr="001F6ED0" w:rsidRDefault="003A0DBE" w:rsidP="003A0DBE">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The proportion of </w:t>
      </w:r>
      <w:r w:rsidR="00222667">
        <w:rPr>
          <w:rFonts w:ascii="Arial" w:hAnsi="Arial" w:cs="Arial"/>
          <w:b/>
          <w:bCs/>
          <w:color w:val="4181C0"/>
          <w:sz w:val="18"/>
          <w:szCs w:val="18"/>
        </w:rPr>
        <w:t>employed persons aged over 15</w:t>
      </w:r>
      <w:r>
        <w:rPr>
          <w:rFonts w:ascii="Arial" w:hAnsi="Arial" w:cs="Arial"/>
          <w:b/>
          <w:bCs/>
          <w:color w:val="4181C0"/>
          <w:sz w:val="18"/>
          <w:szCs w:val="18"/>
        </w:rPr>
        <w:t xml:space="preserve"> who reported Manufacturing as their industry of employment has declined to 8.7% in 2011 compared to 10.3% in 2006. There has been a decline in the number of persons who reported being employed in this industry (2,209 persons).</w:t>
      </w:r>
    </w:p>
    <w:p w:rsidR="003A0DBE" w:rsidRDefault="003A0DBE" w:rsidP="003A0DBE">
      <w:pPr>
        <w:pStyle w:val="ListParagraph"/>
        <w:numPr>
          <w:ilvl w:val="0"/>
          <w:numId w:val="5"/>
        </w:numPr>
        <w:outlineLvl w:val="0"/>
        <w:rPr>
          <w:rFonts w:ascii="Arial" w:hAnsi="Arial" w:cs="Arial"/>
          <w:b/>
          <w:bCs/>
          <w:color w:val="4181C0"/>
          <w:sz w:val="18"/>
          <w:szCs w:val="18"/>
        </w:rPr>
      </w:pPr>
      <w:r w:rsidRPr="00EC4306">
        <w:rPr>
          <w:rFonts w:ascii="Arial" w:hAnsi="Arial" w:cs="Arial"/>
          <w:b/>
          <w:bCs/>
          <w:color w:val="4181C0"/>
          <w:sz w:val="18"/>
          <w:szCs w:val="18"/>
        </w:rPr>
        <w:t xml:space="preserve">In 2011, of </w:t>
      </w:r>
      <w:r w:rsidR="00222667">
        <w:rPr>
          <w:rFonts w:ascii="Arial" w:hAnsi="Arial" w:cs="Arial"/>
          <w:b/>
          <w:bCs/>
          <w:color w:val="4181C0"/>
          <w:sz w:val="18"/>
          <w:szCs w:val="18"/>
        </w:rPr>
        <w:t>persons</w:t>
      </w:r>
      <w:r w:rsidRPr="00EC4306">
        <w:rPr>
          <w:rFonts w:ascii="Arial" w:hAnsi="Arial" w:cs="Arial"/>
          <w:b/>
          <w:bCs/>
          <w:color w:val="4181C0"/>
          <w:sz w:val="18"/>
          <w:szCs w:val="18"/>
        </w:rPr>
        <w:t xml:space="preserve"> who reported working in the Manufa</w:t>
      </w:r>
      <w:r>
        <w:rPr>
          <w:rFonts w:ascii="Arial" w:hAnsi="Arial" w:cs="Arial"/>
          <w:b/>
          <w:bCs/>
          <w:color w:val="4181C0"/>
          <w:sz w:val="18"/>
          <w:szCs w:val="18"/>
        </w:rPr>
        <w:t>cturing industry, 76.4</w:t>
      </w:r>
      <w:r w:rsidRPr="00EC4306">
        <w:rPr>
          <w:rFonts w:ascii="Arial" w:hAnsi="Arial" w:cs="Arial"/>
          <w:b/>
          <w:bCs/>
          <w:color w:val="4181C0"/>
          <w:sz w:val="18"/>
          <w:szCs w:val="18"/>
        </w:rPr>
        <w:t xml:space="preserve">% were males. </w:t>
      </w:r>
    </w:p>
    <w:p w:rsidR="003A0DBE" w:rsidRPr="00EC4306" w:rsidRDefault="003A0DBE" w:rsidP="003A0DBE">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In 2011, of </w:t>
      </w:r>
      <w:r w:rsidR="00222667">
        <w:rPr>
          <w:rFonts w:ascii="Arial" w:hAnsi="Arial" w:cs="Arial"/>
          <w:b/>
          <w:bCs/>
          <w:color w:val="4181C0"/>
          <w:sz w:val="18"/>
          <w:szCs w:val="18"/>
        </w:rPr>
        <w:t>persons</w:t>
      </w:r>
      <w:r>
        <w:rPr>
          <w:rFonts w:ascii="Arial" w:hAnsi="Arial" w:cs="Arial"/>
          <w:b/>
          <w:bCs/>
          <w:color w:val="4181C0"/>
          <w:sz w:val="18"/>
          <w:szCs w:val="18"/>
        </w:rPr>
        <w:t xml:space="preserve"> who reported working in the</w:t>
      </w:r>
      <w:r w:rsidRPr="00EC4306">
        <w:rPr>
          <w:rFonts w:ascii="Arial" w:hAnsi="Arial" w:cs="Arial"/>
          <w:b/>
          <w:bCs/>
          <w:color w:val="4181C0"/>
          <w:sz w:val="18"/>
          <w:szCs w:val="18"/>
        </w:rPr>
        <w:t xml:space="preserve"> indust</w:t>
      </w:r>
      <w:r>
        <w:rPr>
          <w:rFonts w:ascii="Arial" w:hAnsi="Arial" w:cs="Arial"/>
          <w:b/>
          <w:bCs/>
          <w:color w:val="4181C0"/>
          <w:sz w:val="18"/>
          <w:szCs w:val="18"/>
        </w:rPr>
        <w:t>r</w:t>
      </w:r>
      <w:r w:rsidR="00222667">
        <w:rPr>
          <w:rFonts w:ascii="Arial" w:hAnsi="Arial" w:cs="Arial"/>
          <w:b/>
          <w:bCs/>
          <w:color w:val="4181C0"/>
          <w:sz w:val="18"/>
          <w:szCs w:val="18"/>
        </w:rPr>
        <w:t>ies</w:t>
      </w:r>
      <w:r w:rsidRPr="00EC4306">
        <w:rPr>
          <w:rFonts w:ascii="Arial" w:hAnsi="Arial" w:cs="Arial"/>
          <w:b/>
          <w:bCs/>
          <w:color w:val="4181C0"/>
          <w:sz w:val="18"/>
          <w:szCs w:val="18"/>
        </w:rPr>
        <w:t xml:space="preserve"> of Health Care and Social Assistance, Education and Training</w:t>
      </w:r>
      <w:r w:rsidR="00222667">
        <w:rPr>
          <w:rFonts w:ascii="Arial" w:hAnsi="Arial" w:cs="Arial"/>
          <w:b/>
          <w:bCs/>
          <w:color w:val="4181C0"/>
          <w:sz w:val="18"/>
          <w:szCs w:val="18"/>
        </w:rPr>
        <w:t>,</w:t>
      </w:r>
      <w:r w:rsidRPr="00EC4306">
        <w:rPr>
          <w:rFonts w:ascii="Arial" w:hAnsi="Arial" w:cs="Arial"/>
          <w:b/>
          <w:bCs/>
          <w:color w:val="4181C0"/>
          <w:sz w:val="18"/>
          <w:szCs w:val="18"/>
        </w:rPr>
        <w:t xml:space="preserve"> and Retail Trade</w:t>
      </w:r>
      <w:r>
        <w:rPr>
          <w:rFonts w:ascii="Arial" w:hAnsi="Arial" w:cs="Arial"/>
          <w:b/>
          <w:bCs/>
          <w:color w:val="4181C0"/>
          <w:sz w:val="18"/>
          <w:szCs w:val="18"/>
        </w:rPr>
        <w:t xml:space="preserve"> a higher proportion were </w:t>
      </w:r>
      <w:r w:rsidR="00222667">
        <w:rPr>
          <w:rFonts w:ascii="Arial" w:hAnsi="Arial" w:cs="Arial"/>
          <w:b/>
          <w:bCs/>
          <w:color w:val="4181C0"/>
          <w:sz w:val="18"/>
          <w:szCs w:val="18"/>
        </w:rPr>
        <w:t>females (</w:t>
      </w:r>
      <w:r>
        <w:rPr>
          <w:rFonts w:ascii="Arial" w:hAnsi="Arial" w:cs="Arial"/>
          <w:b/>
          <w:bCs/>
          <w:color w:val="4181C0"/>
          <w:sz w:val="18"/>
          <w:szCs w:val="18"/>
        </w:rPr>
        <w:t>80.1</w:t>
      </w:r>
      <w:r w:rsidRPr="00EC4306">
        <w:rPr>
          <w:rFonts w:ascii="Arial" w:hAnsi="Arial" w:cs="Arial"/>
          <w:b/>
          <w:bCs/>
          <w:color w:val="4181C0"/>
          <w:sz w:val="18"/>
          <w:szCs w:val="18"/>
        </w:rPr>
        <w:t xml:space="preserve">%, </w:t>
      </w:r>
      <w:r>
        <w:rPr>
          <w:rFonts w:ascii="Arial" w:hAnsi="Arial" w:cs="Arial"/>
          <w:b/>
          <w:bCs/>
          <w:color w:val="4181C0"/>
          <w:sz w:val="18"/>
          <w:szCs w:val="18"/>
        </w:rPr>
        <w:t>69.6</w:t>
      </w:r>
      <w:r w:rsidRPr="00EC4306">
        <w:rPr>
          <w:rFonts w:ascii="Arial" w:hAnsi="Arial" w:cs="Arial"/>
          <w:b/>
          <w:bCs/>
          <w:color w:val="4181C0"/>
          <w:sz w:val="18"/>
          <w:szCs w:val="18"/>
        </w:rPr>
        <w:t>% and 5</w:t>
      </w:r>
      <w:r>
        <w:rPr>
          <w:rFonts w:ascii="Arial" w:hAnsi="Arial" w:cs="Arial"/>
          <w:b/>
          <w:bCs/>
          <w:color w:val="4181C0"/>
          <w:sz w:val="18"/>
          <w:szCs w:val="18"/>
        </w:rPr>
        <w:t>8.6</w:t>
      </w:r>
      <w:r w:rsidRPr="00EC4306">
        <w:rPr>
          <w:rFonts w:ascii="Arial" w:hAnsi="Arial" w:cs="Arial"/>
          <w:b/>
          <w:bCs/>
          <w:color w:val="4181C0"/>
          <w:sz w:val="18"/>
          <w:szCs w:val="18"/>
        </w:rPr>
        <w:t>% respectively</w:t>
      </w:r>
      <w:r>
        <w:rPr>
          <w:rFonts w:ascii="Arial" w:hAnsi="Arial" w:cs="Arial"/>
          <w:b/>
          <w:bCs/>
          <w:color w:val="4181C0"/>
          <w:sz w:val="18"/>
          <w:szCs w:val="18"/>
        </w:rPr>
        <w:t>).</w:t>
      </w:r>
    </w:p>
    <w:p w:rsidR="00222667" w:rsidRDefault="00222667">
      <w:pPr>
        <w:rPr>
          <w:rFonts w:ascii="Arial" w:hAnsi="Arial" w:cs="Arial"/>
          <w:b/>
          <w:color w:val="000000" w:themeColor="text1"/>
          <w:sz w:val="28"/>
          <w:szCs w:val="28"/>
        </w:rPr>
      </w:pPr>
      <w:r>
        <w:rPr>
          <w:rFonts w:ascii="Arial" w:hAnsi="Arial" w:cs="Arial"/>
          <w:b/>
          <w:color w:val="000000" w:themeColor="text1"/>
          <w:sz w:val="28"/>
          <w:szCs w:val="28"/>
        </w:rPr>
        <w:br w:type="page"/>
      </w:r>
    </w:p>
    <w:p w:rsidR="00222667" w:rsidRDefault="00222667" w:rsidP="00222667">
      <w:pPr>
        <w:spacing w:after="0"/>
        <w:jc w:val="center"/>
        <w:rPr>
          <w:rFonts w:ascii="Arial" w:hAnsi="Arial" w:cs="Arial"/>
          <w:b/>
          <w:sz w:val="28"/>
          <w:szCs w:val="28"/>
        </w:rPr>
      </w:pPr>
    </w:p>
    <w:p w:rsidR="00222667" w:rsidRDefault="00222667" w:rsidP="00222667">
      <w:pPr>
        <w:spacing w:after="0"/>
        <w:jc w:val="center"/>
        <w:rPr>
          <w:rFonts w:ascii="Arial" w:hAnsi="Arial" w:cs="Arial"/>
          <w:b/>
          <w:sz w:val="28"/>
          <w:szCs w:val="28"/>
        </w:rPr>
      </w:pPr>
    </w:p>
    <w:p w:rsidR="00222667" w:rsidRDefault="00222667" w:rsidP="00222667">
      <w:pPr>
        <w:spacing w:after="0"/>
        <w:jc w:val="center"/>
        <w:rPr>
          <w:rFonts w:ascii="Arial" w:hAnsi="Arial" w:cs="Arial"/>
          <w:b/>
          <w:sz w:val="28"/>
          <w:szCs w:val="28"/>
        </w:rPr>
      </w:pPr>
    </w:p>
    <w:p w:rsidR="00222667" w:rsidRDefault="00222667" w:rsidP="00222667">
      <w:pPr>
        <w:spacing w:after="0"/>
        <w:jc w:val="center"/>
        <w:rPr>
          <w:rFonts w:ascii="Arial" w:hAnsi="Arial" w:cs="Arial"/>
          <w:b/>
          <w:sz w:val="28"/>
          <w:szCs w:val="28"/>
        </w:rPr>
      </w:pPr>
    </w:p>
    <w:p w:rsidR="00222667" w:rsidRDefault="00222667" w:rsidP="00222667">
      <w:pPr>
        <w:spacing w:after="0"/>
        <w:jc w:val="center"/>
        <w:rPr>
          <w:rFonts w:ascii="Arial" w:hAnsi="Arial" w:cs="Arial"/>
          <w:b/>
          <w:sz w:val="28"/>
          <w:szCs w:val="28"/>
        </w:rPr>
      </w:pPr>
    </w:p>
    <w:p w:rsidR="00222667" w:rsidRPr="003836C7" w:rsidRDefault="00222667" w:rsidP="00222667">
      <w:pPr>
        <w:spacing w:after="0"/>
        <w:jc w:val="center"/>
        <w:rPr>
          <w:rFonts w:ascii="Arial" w:hAnsi="Arial" w:cs="Arial"/>
          <w:b/>
          <w:sz w:val="32"/>
          <w:szCs w:val="32"/>
        </w:rPr>
      </w:pPr>
      <w:r>
        <w:rPr>
          <w:rFonts w:ascii="Arial" w:hAnsi="Arial" w:cs="Arial"/>
          <w:b/>
          <w:sz w:val="32"/>
          <w:szCs w:val="32"/>
        </w:rPr>
        <w:t>Tasmania</w:t>
      </w:r>
    </w:p>
    <w:p w:rsidR="00222667" w:rsidRPr="00BF1EC3" w:rsidRDefault="00222667" w:rsidP="00222667">
      <w:pPr>
        <w:spacing w:after="0"/>
        <w:jc w:val="center"/>
        <w:rPr>
          <w:rFonts w:ascii="Arial" w:hAnsi="Arial" w:cs="Arial"/>
          <w:b/>
          <w:sz w:val="28"/>
          <w:szCs w:val="28"/>
        </w:rPr>
      </w:pPr>
    </w:p>
    <w:p w:rsidR="00233455" w:rsidRPr="00433831" w:rsidRDefault="00936274"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222667">
        <w:rPr>
          <w:rFonts w:ascii="Arial" w:hAnsi="Arial" w:cs="Arial"/>
          <w:b/>
          <w:color w:val="000000" w:themeColor="text1"/>
          <w:sz w:val="28"/>
          <w:szCs w:val="28"/>
        </w:rPr>
        <w:t>five</w:t>
      </w:r>
      <w:r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(employed persons aged 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C0246B">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C0246B">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C0246B">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C0246B">
            <w:pPr>
              <w:jc w:val="right"/>
              <w:rPr>
                <w:rFonts w:ascii="Arial" w:hAnsi="Arial" w:cs="Arial"/>
                <w:b/>
              </w:rPr>
            </w:pPr>
            <w:r w:rsidRPr="002E42CC">
              <w:rPr>
                <w:rFonts w:ascii="Arial" w:hAnsi="Arial" w:cs="Arial"/>
                <w:b/>
              </w:rPr>
              <w:t>Female</w:t>
            </w:r>
            <w:r>
              <w:rPr>
                <w:rFonts w:ascii="Arial" w:hAnsi="Arial" w:cs="Arial"/>
                <w:b/>
              </w:rPr>
              <w:t>s</w:t>
            </w:r>
          </w:p>
        </w:tc>
      </w:tr>
      <w:tr w:rsidR="003A0DBE" w:rsidRPr="00726F2A"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Professionals</w:t>
            </w:r>
          </w:p>
        </w:tc>
        <w:tc>
          <w:tcPr>
            <w:tcW w:w="198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40,143</w:t>
            </w:r>
            <w:r w:rsidR="00222667" w:rsidRPr="00C0246B">
              <w:rPr>
                <w:rFonts w:ascii="Arial" w:hAnsi="Arial" w:cs="Arial"/>
                <w:sz w:val="18"/>
                <w:szCs w:val="18"/>
              </w:rPr>
              <w:t xml:space="preserve"> </w:t>
            </w:r>
            <w:r w:rsidRPr="00C0246B">
              <w:rPr>
                <w:rFonts w:ascii="Arial" w:hAnsi="Arial" w:cs="Arial"/>
                <w:sz w:val="18"/>
                <w:szCs w:val="18"/>
              </w:rPr>
              <w:t>(18.5%)</w:t>
            </w:r>
          </w:p>
        </w:tc>
        <w:tc>
          <w:tcPr>
            <w:tcW w:w="85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42.7%</w:t>
            </w:r>
          </w:p>
        </w:tc>
        <w:tc>
          <w:tcPr>
            <w:tcW w:w="113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57.3%</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35,891</w:t>
            </w:r>
            <w:r w:rsidR="00222667" w:rsidRPr="00C0246B">
              <w:rPr>
                <w:rFonts w:ascii="Arial" w:hAnsi="Arial" w:cs="Arial"/>
                <w:sz w:val="18"/>
                <w:szCs w:val="18"/>
              </w:rPr>
              <w:t xml:space="preserve"> </w:t>
            </w:r>
            <w:r w:rsidRPr="00C0246B">
              <w:rPr>
                <w:rFonts w:ascii="Arial" w:hAnsi="Arial" w:cs="Arial"/>
                <w:sz w:val="18"/>
                <w:szCs w:val="18"/>
              </w:rPr>
              <w:t>(17.5%)</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44.6%</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55.4%</w:t>
            </w:r>
          </w:p>
        </w:tc>
      </w:tr>
      <w:tr w:rsidR="003A0DBE" w:rsidRPr="00726F2A"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Technicians and Trades Workers</w:t>
            </w:r>
          </w:p>
        </w:tc>
        <w:tc>
          <w:tcPr>
            <w:tcW w:w="198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32,257</w:t>
            </w:r>
            <w:r w:rsidR="00222667" w:rsidRPr="00C0246B">
              <w:rPr>
                <w:rFonts w:ascii="Arial" w:hAnsi="Arial" w:cs="Arial"/>
                <w:sz w:val="18"/>
                <w:szCs w:val="18"/>
              </w:rPr>
              <w:t xml:space="preserve"> </w:t>
            </w:r>
            <w:r w:rsidRPr="00C0246B">
              <w:rPr>
                <w:rFonts w:ascii="Arial" w:hAnsi="Arial" w:cs="Arial"/>
                <w:sz w:val="18"/>
                <w:szCs w:val="18"/>
              </w:rPr>
              <w:t>(14.8%)</w:t>
            </w:r>
          </w:p>
        </w:tc>
        <w:tc>
          <w:tcPr>
            <w:tcW w:w="85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83.8%</w:t>
            </w:r>
          </w:p>
        </w:tc>
        <w:tc>
          <w:tcPr>
            <w:tcW w:w="113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16.2%</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29,957</w:t>
            </w:r>
            <w:r w:rsidR="00222667" w:rsidRPr="00C0246B">
              <w:rPr>
                <w:rFonts w:ascii="Arial" w:hAnsi="Arial" w:cs="Arial"/>
                <w:sz w:val="18"/>
                <w:szCs w:val="18"/>
              </w:rPr>
              <w:t xml:space="preserve"> </w:t>
            </w:r>
            <w:r w:rsidRPr="00C0246B">
              <w:rPr>
                <w:rFonts w:ascii="Arial" w:hAnsi="Arial" w:cs="Arial"/>
                <w:sz w:val="18"/>
                <w:szCs w:val="18"/>
              </w:rPr>
              <w:t>(14.6%)</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83.9%</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16.1%</w:t>
            </w:r>
          </w:p>
        </w:tc>
      </w:tr>
      <w:tr w:rsidR="003A0DBE" w:rsidRPr="00726F2A"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Clerical and Administrative Workers</w:t>
            </w:r>
          </w:p>
        </w:tc>
        <w:tc>
          <w:tcPr>
            <w:tcW w:w="198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30,054</w:t>
            </w:r>
            <w:r w:rsidR="00222667" w:rsidRPr="00C0246B">
              <w:rPr>
                <w:rFonts w:ascii="Arial" w:hAnsi="Arial" w:cs="Arial"/>
                <w:sz w:val="18"/>
                <w:szCs w:val="18"/>
              </w:rPr>
              <w:t xml:space="preserve"> </w:t>
            </w:r>
            <w:r w:rsidRPr="00C0246B">
              <w:rPr>
                <w:rFonts w:ascii="Arial" w:hAnsi="Arial" w:cs="Arial"/>
                <w:sz w:val="18"/>
                <w:szCs w:val="18"/>
              </w:rPr>
              <w:t>(13.8%)</w:t>
            </w:r>
          </w:p>
        </w:tc>
        <w:tc>
          <w:tcPr>
            <w:tcW w:w="85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22.8%</w:t>
            </w:r>
          </w:p>
        </w:tc>
        <w:tc>
          <w:tcPr>
            <w:tcW w:w="113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77.2%</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28,657</w:t>
            </w:r>
            <w:r w:rsidR="00222667" w:rsidRPr="00C0246B">
              <w:rPr>
                <w:rFonts w:ascii="Arial" w:hAnsi="Arial" w:cs="Arial"/>
                <w:sz w:val="18"/>
                <w:szCs w:val="18"/>
              </w:rPr>
              <w:t xml:space="preserve"> </w:t>
            </w:r>
            <w:r w:rsidRPr="00C0246B">
              <w:rPr>
                <w:rFonts w:ascii="Arial" w:hAnsi="Arial" w:cs="Arial"/>
                <w:sz w:val="18"/>
                <w:szCs w:val="18"/>
              </w:rPr>
              <w:t>(14.0%)</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23.1%</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76.9%</w:t>
            </w:r>
          </w:p>
        </w:tc>
      </w:tr>
      <w:tr w:rsidR="003A0DBE" w:rsidRPr="00726F2A"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Managers</w:t>
            </w:r>
          </w:p>
        </w:tc>
        <w:tc>
          <w:tcPr>
            <w:tcW w:w="198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26,970</w:t>
            </w:r>
            <w:r w:rsidR="00222667" w:rsidRPr="00C0246B">
              <w:rPr>
                <w:rFonts w:ascii="Arial" w:hAnsi="Arial" w:cs="Arial"/>
                <w:sz w:val="18"/>
                <w:szCs w:val="18"/>
              </w:rPr>
              <w:t xml:space="preserve"> </w:t>
            </w:r>
            <w:r w:rsidRPr="00C0246B">
              <w:rPr>
                <w:rFonts w:ascii="Arial" w:hAnsi="Arial" w:cs="Arial"/>
                <w:sz w:val="18"/>
                <w:szCs w:val="18"/>
              </w:rPr>
              <w:t>(12.4%)</w:t>
            </w:r>
          </w:p>
        </w:tc>
        <w:tc>
          <w:tcPr>
            <w:tcW w:w="85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65.8%</w:t>
            </w:r>
          </w:p>
        </w:tc>
        <w:tc>
          <w:tcPr>
            <w:tcW w:w="113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34.2%</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26,289</w:t>
            </w:r>
            <w:r w:rsidR="00222667" w:rsidRPr="00C0246B">
              <w:rPr>
                <w:rFonts w:ascii="Arial" w:hAnsi="Arial" w:cs="Arial"/>
                <w:sz w:val="18"/>
                <w:szCs w:val="18"/>
              </w:rPr>
              <w:t xml:space="preserve"> </w:t>
            </w:r>
            <w:r w:rsidRPr="00C0246B">
              <w:rPr>
                <w:rFonts w:ascii="Arial" w:hAnsi="Arial" w:cs="Arial"/>
                <w:sz w:val="18"/>
                <w:szCs w:val="18"/>
              </w:rPr>
              <w:t>(12.8%)</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66.2%</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33.8%</w:t>
            </w:r>
          </w:p>
        </w:tc>
      </w:tr>
      <w:tr w:rsidR="003A0DBE" w:rsidRPr="00726F2A"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Labourers</w:t>
            </w:r>
          </w:p>
        </w:tc>
        <w:tc>
          <w:tcPr>
            <w:tcW w:w="198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24,652</w:t>
            </w:r>
            <w:r w:rsidR="00222667" w:rsidRPr="00C0246B">
              <w:rPr>
                <w:rFonts w:ascii="Arial" w:hAnsi="Arial" w:cs="Arial"/>
                <w:sz w:val="18"/>
                <w:szCs w:val="18"/>
              </w:rPr>
              <w:t xml:space="preserve"> </w:t>
            </w:r>
            <w:r w:rsidRPr="00C0246B">
              <w:rPr>
                <w:rFonts w:ascii="Arial" w:hAnsi="Arial" w:cs="Arial"/>
                <w:sz w:val="18"/>
                <w:szCs w:val="18"/>
              </w:rPr>
              <w:t>(11.3%)</w:t>
            </w:r>
          </w:p>
        </w:tc>
        <w:tc>
          <w:tcPr>
            <w:tcW w:w="85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59.5%</w:t>
            </w:r>
          </w:p>
        </w:tc>
        <w:tc>
          <w:tcPr>
            <w:tcW w:w="113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40.5%</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25,569</w:t>
            </w:r>
            <w:r w:rsidR="00222667" w:rsidRPr="00C0246B">
              <w:rPr>
                <w:rFonts w:ascii="Arial" w:hAnsi="Arial" w:cs="Arial"/>
                <w:sz w:val="18"/>
                <w:szCs w:val="18"/>
              </w:rPr>
              <w:t xml:space="preserve"> </w:t>
            </w:r>
            <w:r w:rsidRPr="00C0246B">
              <w:rPr>
                <w:rFonts w:ascii="Arial" w:hAnsi="Arial" w:cs="Arial"/>
                <w:sz w:val="18"/>
                <w:szCs w:val="18"/>
              </w:rPr>
              <w:t>(12.5%)</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59.2%</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40.8%</w:t>
            </w:r>
          </w:p>
        </w:tc>
      </w:tr>
      <w:tr w:rsidR="003A0DBE" w:rsidRPr="00726F2A" w:rsidTr="00C0246B">
        <w:tc>
          <w:tcPr>
            <w:tcW w:w="2411" w:type="dxa"/>
            <w:shd w:val="clear" w:color="auto" w:fill="8DB3E2" w:themeFill="text2" w:themeFillTint="66"/>
            <w:vAlign w:val="bottom"/>
          </w:tcPr>
          <w:p w:rsidR="003A0DBE" w:rsidRPr="00C0246B" w:rsidRDefault="003A0DBE" w:rsidP="00C0246B">
            <w:pPr>
              <w:rPr>
                <w:rFonts w:ascii="Arial" w:hAnsi="Arial" w:cs="Arial"/>
                <w:color w:val="000000" w:themeColor="text1"/>
                <w:sz w:val="18"/>
                <w:szCs w:val="18"/>
              </w:rPr>
            </w:pPr>
            <w:r w:rsidRPr="00C0246B">
              <w:rPr>
                <w:rFonts w:ascii="Arial" w:hAnsi="Arial" w:cs="Arial"/>
                <w:color w:val="000000" w:themeColor="text1"/>
                <w:sz w:val="18"/>
                <w:szCs w:val="18"/>
              </w:rPr>
              <w:t>Total persons</w:t>
            </w:r>
          </w:p>
        </w:tc>
        <w:tc>
          <w:tcPr>
            <w:tcW w:w="1984" w:type="dxa"/>
            <w:shd w:val="clear" w:color="auto" w:fill="C6D9F1" w:themeFill="text2" w:themeFillTint="33"/>
            <w:vAlign w:val="center"/>
          </w:tcPr>
          <w:p w:rsidR="003A0DBE" w:rsidRPr="00C0246B" w:rsidRDefault="003A0DBE" w:rsidP="00395DA2">
            <w:pPr>
              <w:jc w:val="right"/>
              <w:rPr>
                <w:rFonts w:ascii="Arial" w:hAnsi="Arial" w:cs="Arial"/>
                <w:sz w:val="18"/>
                <w:szCs w:val="18"/>
              </w:rPr>
            </w:pPr>
            <w:r w:rsidRPr="00C0246B">
              <w:rPr>
                <w:rFonts w:ascii="Arial" w:hAnsi="Arial" w:cs="Arial"/>
                <w:sz w:val="18"/>
                <w:szCs w:val="18"/>
              </w:rPr>
              <w:t>217,295</w:t>
            </w:r>
            <w:r w:rsidR="00222667" w:rsidRPr="00C0246B">
              <w:rPr>
                <w:rFonts w:ascii="Arial" w:hAnsi="Arial" w:cs="Arial"/>
                <w:sz w:val="18"/>
                <w:szCs w:val="18"/>
              </w:rPr>
              <w:t xml:space="preserve"> </w:t>
            </w:r>
            <w:r w:rsidRPr="00C0246B">
              <w:rPr>
                <w:rFonts w:ascii="Arial" w:hAnsi="Arial" w:cs="Arial"/>
                <w:sz w:val="18"/>
                <w:szCs w:val="18"/>
              </w:rPr>
              <w:t>(100.0%)</w:t>
            </w:r>
          </w:p>
        </w:tc>
        <w:tc>
          <w:tcPr>
            <w:tcW w:w="85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52.0%</w:t>
            </w:r>
          </w:p>
        </w:tc>
        <w:tc>
          <w:tcPr>
            <w:tcW w:w="1134"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48.0%</w:t>
            </w:r>
          </w:p>
        </w:tc>
        <w:tc>
          <w:tcPr>
            <w:tcW w:w="1842" w:type="dxa"/>
            <w:shd w:val="clear" w:color="auto" w:fill="C6D9F1" w:themeFill="text2" w:themeFillTint="33"/>
          </w:tcPr>
          <w:p w:rsidR="003A0DBE" w:rsidRPr="00C0246B" w:rsidRDefault="003A0DBE" w:rsidP="00395DA2">
            <w:pPr>
              <w:jc w:val="right"/>
              <w:rPr>
                <w:rFonts w:ascii="Arial" w:hAnsi="Arial" w:cs="Arial"/>
                <w:sz w:val="18"/>
                <w:szCs w:val="18"/>
              </w:rPr>
            </w:pPr>
            <w:r w:rsidRPr="00C0246B">
              <w:rPr>
                <w:rFonts w:ascii="Arial" w:hAnsi="Arial" w:cs="Arial"/>
                <w:sz w:val="18"/>
                <w:szCs w:val="18"/>
              </w:rPr>
              <w:t xml:space="preserve">204,739 </w:t>
            </w:r>
            <w:r w:rsidR="00222667" w:rsidRPr="00C0246B">
              <w:rPr>
                <w:rFonts w:ascii="Arial" w:hAnsi="Arial" w:cs="Arial"/>
                <w:sz w:val="18"/>
                <w:szCs w:val="18"/>
              </w:rPr>
              <w:t>(</w:t>
            </w:r>
            <w:r w:rsidRPr="00C0246B">
              <w:rPr>
                <w:rFonts w:ascii="Arial" w:hAnsi="Arial" w:cs="Arial"/>
                <w:sz w:val="18"/>
                <w:szCs w:val="18"/>
              </w:rPr>
              <w:t>100.0%)</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53.1%</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46.9%</w:t>
            </w:r>
          </w:p>
        </w:tc>
      </w:tr>
    </w:tbl>
    <w:p w:rsidR="00233455" w:rsidRDefault="00233455" w:rsidP="006B4BFF">
      <w:pPr>
        <w:rPr>
          <w:rFonts w:ascii="Arial" w:hAnsi="Arial" w:cs="Arial"/>
          <w:b/>
          <w:color w:val="000000" w:themeColor="text1"/>
          <w:sz w:val="18"/>
          <w:szCs w:val="18"/>
        </w:rPr>
      </w:pP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In 2011, 18.5% of employed persons </w:t>
      </w:r>
      <w:r w:rsidR="00D062B7">
        <w:rPr>
          <w:rFonts w:ascii="Arial" w:hAnsi="Arial" w:cs="Arial"/>
          <w:b/>
          <w:bCs/>
          <w:color w:val="4181C0"/>
          <w:sz w:val="18"/>
          <w:szCs w:val="18"/>
        </w:rPr>
        <w:t xml:space="preserve">in Tasmania </w:t>
      </w:r>
      <w:r>
        <w:rPr>
          <w:rFonts w:ascii="Arial" w:hAnsi="Arial" w:cs="Arial"/>
          <w:b/>
          <w:bCs/>
          <w:color w:val="4181C0"/>
          <w:sz w:val="18"/>
          <w:szCs w:val="18"/>
        </w:rPr>
        <w:t>aged 15 year</w:t>
      </w:r>
      <w:r w:rsidR="00222667">
        <w:rPr>
          <w:rFonts w:ascii="Arial" w:hAnsi="Arial" w:cs="Arial"/>
          <w:b/>
          <w:bCs/>
          <w:color w:val="4181C0"/>
          <w:sz w:val="18"/>
          <w:szCs w:val="18"/>
        </w:rPr>
        <w:t>s and over reported working as P</w:t>
      </w:r>
      <w:r>
        <w:rPr>
          <w:rFonts w:ascii="Arial" w:hAnsi="Arial" w:cs="Arial"/>
          <w:b/>
          <w:bCs/>
          <w:color w:val="4181C0"/>
          <w:sz w:val="18"/>
          <w:szCs w:val="18"/>
        </w:rPr>
        <w:t xml:space="preserve">rofessionals. Of those who reported working as </w:t>
      </w:r>
      <w:r w:rsidR="00222667">
        <w:rPr>
          <w:rFonts w:ascii="Arial" w:hAnsi="Arial" w:cs="Arial"/>
          <w:b/>
          <w:bCs/>
          <w:color w:val="4181C0"/>
          <w:sz w:val="18"/>
          <w:szCs w:val="18"/>
        </w:rPr>
        <w:t>P</w:t>
      </w:r>
      <w:r>
        <w:rPr>
          <w:rFonts w:ascii="Arial" w:hAnsi="Arial" w:cs="Arial"/>
          <w:b/>
          <w:bCs/>
          <w:color w:val="4181C0"/>
          <w:sz w:val="18"/>
          <w:szCs w:val="18"/>
        </w:rPr>
        <w:t>rofessionals, 57.3% were females.</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Th</w:t>
      </w:r>
      <w:r w:rsidR="00C469E0">
        <w:rPr>
          <w:rFonts w:ascii="Arial" w:hAnsi="Arial" w:cs="Arial"/>
          <w:b/>
          <w:bCs/>
          <w:color w:val="4181C0"/>
          <w:sz w:val="18"/>
          <w:szCs w:val="18"/>
        </w:rPr>
        <w:t>e</w:t>
      </w:r>
      <w:r>
        <w:rPr>
          <w:rFonts w:ascii="Arial" w:hAnsi="Arial" w:cs="Arial"/>
          <w:b/>
          <w:bCs/>
          <w:color w:val="4181C0"/>
          <w:sz w:val="18"/>
          <w:szCs w:val="18"/>
        </w:rPr>
        <w:t xml:space="preserve"> proportion of those who reported working as Professionals has increased by 1.0 percentage points to 18.5% in 2011 from 17.5% in 2006.</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The proportion of those who reported working as Labourers has declined from 12.5% in 2006 to 11.3% in 2011. </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Of </w:t>
      </w:r>
      <w:r w:rsidR="00C469E0">
        <w:rPr>
          <w:rFonts w:ascii="Arial" w:hAnsi="Arial" w:cs="Arial"/>
          <w:b/>
          <w:bCs/>
          <w:color w:val="4181C0"/>
          <w:sz w:val="18"/>
          <w:szCs w:val="18"/>
        </w:rPr>
        <w:t>persons</w:t>
      </w:r>
      <w:r>
        <w:rPr>
          <w:rFonts w:ascii="Arial" w:hAnsi="Arial" w:cs="Arial"/>
          <w:b/>
          <w:bCs/>
          <w:color w:val="4181C0"/>
          <w:sz w:val="18"/>
          <w:szCs w:val="18"/>
        </w:rPr>
        <w:t xml:space="preserve"> who reported working as Technicians and Trades Workers (14.8%), a higher proportion were males (83.8%). This compared to 13.8% of persons reporting as Clerical and Administrative </w:t>
      </w:r>
      <w:r w:rsidR="00C469E0">
        <w:rPr>
          <w:rFonts w:ascii="Arial" w:hAnsi="Arial" w:cs="Arial"/>
          <w:b/>
          <w:bCs/>
          <w:color w:val="4181C0"/>
          <w:sz w:val="18"/>
          <w:szCs w:val="18"/>
        </w:rPr>
        <w:t>W</w:t>
      </w:r>
      <w:r>
        <w:rPr>
          <w:rFonts w:ascii="Arial" w:hAnsi="Arial" w:cs="Arial"/>
          <w:b/>
          <w:bCs/>
          <w:color w:val="4181C0"/>
          <w:sz w:val="18"/>
          <w:szCs w:val="18"/>
        </w:rPr>
        <w:t>orkers of wh</w:t>
      </w:r>
      <w:r w:rsidR="00C469E0">
        <w:rPr>
          <w:rFonts w:ascii="Arial" w:hAnsi="Arial" w:cs="Arial"/>
          <w:b/>
          <w:bCs/>
          <w:color w:val="4181C0"/>
          <w:sz w:val="18"/>
          <w:szCs w:val="18"/>
        </w:rPr>
        <w:t>om</w:t>
      </w:r>
      <w:r>
        <w:rPr>
          <w:rFonts w:ascii="Arial" w:hAnsi="Arial" w:cs="Arial"/>
          <w:b/>
          <w:bCs/>
          <w:color w:val="4181C0"/>
          <w:sz w:val="18"/>
          <w:szCs w:val="18"/>
        </w:rPr>
        <w:t xml:space="preserve"> 77.2% were females.</w:t>
      </w:r>
    </w:p>
    <w:p w:rsidR="00222667" w:rsidRDefault="00222667">
      <w:pPr>
        <w:rPr>
          <w:rFonts w:ascii="Arial" w:hAnsi="Arial" w:cs="Arial"/>
          <w:b/>
          <w:sz w:val="28"/>
          <w:szCs w:val="28"/>
        </w:rPr>
      </w:pPr>
      <w:r>
        <w:rPr>
          <w:rFonts w:ascii="Arial" w:hAnsi="Arial" w:cs="Arial"/>
          <w:b/>
          <w:sz w:val="28"/>
          <w:szCs w:val="28"/>
        </w:rPr>
        <w:br w:type="page"/>
      </w: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3A0DBE" w:rsidP="00740DF9">
      <w:pPr>
        <w:spacing w:after="0"/>
        <w:jc w:val="center"/>
        <w:rPr>
          <w:rFonts w:ascii="Arial" w:hAnsi="Arial" w:cs="Arial"/>
          <w:b/>
          <w:sz w:val="32"/>
          <w:szCs w:val="32"/>
        </w:rPr>
      </w:pPr>
      <w:r>
        <w:rPr>
          <w:rFonts w:ascii="Arial" w:hAnsi="Arial" w:cs="Arial"/>
          <w:b/>
          <w:sz w:val="32"/>
          <w:szCs w:val="32"/>
        </w:rPr>
        <w:t>Tasmania</w:t>
      </w:r>
    </w:p>
    <w:p w:rsidR="003A0DBE" w:rsidRPr="00BF1EC3" w:rsidRDefault="003A0DBE"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1879"/>
        <w:gridCol w:w="1949"/>
        <w:gridCol w:w="992"/>
        <w:gridCol w:w="1126"/>
        <w:gridCol w:w="1848"/>
        <w:gridCol w:w="1327"/>
        <w:gridCol w:w="1369"/>
      </w:tblGrid>
      <w:tr w:rsidR="002A47EB" w:rsidTr="00E640DC">
        <w:tc>
          <w:tcPr>
            <w:tcW w:w="1879"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4067"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C0246B">
        <w:tc>
          <w:tcPr>
            <w:tcW w:w="1879"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949"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Postgraduate Degree</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9,537</w:t>
            </w:r>
            <w:r w:rsidR="00C469E0" w:rsidRPr="00C0246B">
              <w:rPr>
                <w:rFonts w:ascii="Arial" w:hAnsi="Arial" w:cs="Arial"/>
                <w:sz w:val="18"/>
                <w:szCs w:val="18"/>
              </w:rPr>
              <w:t xml:space="preserve"> </w:t>
            </w:r>
            <w:r w:rsidRPr="00C0246B">
              <w:rPr>
                <w:rFonts w:ascii="Arial" w:hAnsi="Arial" w:cs="Arial"/>
                <w:sz w:val="18"/>
                <w:szCs w:val="18"/>
              </w:rPr>
              <w:t>(2.4%)</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51.9%</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48.1%</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6,335</w:t>
            </w:r>
            <w:r w:rsidR="00C469E0" w:rsidRPr="00C0246B">
              <w:rPr>
                <w:rFonts w:ascii="Arial" w:hAnsi="Arial" w:cs="Arial"/>
                <w:sz w:val="18"/>
                <w:szCs w:val="18"/>
              </w:rPr>
              <w:t xml:space="preserve"> </w:t>
            </w:r>
            <w:r w:rsidRPr="00C0246B">
              <w:rPr>
                <w:rFonts w:ascii="Arial" w:hAnsi="Arial" w:cs="Arial"/>
                <w:sz w:val="18"/>
                <w:szCs w:val="18"/>
              </w:rPr>
              <w:t>(1.7%)</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57.1%</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42.9%</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 xml:space="preserve">Graduate Diploma </w:t>
            </w:r>
            <w:r w:rsidR="00C469E0" w:rsidRPr="00C0246B">
              <w:rPr>
                <w:rFonts w:ascii="Arial" w:eastAsia="Times New Roman" w:hAnsi="Arial" w:cs="Arial"/>
                <w:color w:val="000000"/>
                <w:sz w:val="18"/>
                <w:szCs w:val="18"/>
                <w:lang w:eastAsia="en-AU"/>
              </w:rPr>
              <w:t>and</w:t>
            </w:r>
            <w:r w:rsidRPr="00C0246B">
              <w:rPr>
                <w:rFonts w:ascii="Arial" w:eastAsia="Times New Roman" w:hAnsi="Arial" w:cs="Arial"/>
                <w:color w:val="000000"/>
                <w:sz w:val="18"/>
                <w:szCs w:val="18"/>
                <w:lang w:eastAsia="en-AU"/>
              </w:rPr>
              <w:t xml:space="preserve"> </w:t>
            </w:r>
            <w:r w:rsidR="00C469E0" w:rsidRPr="00C0246B">
              <w:rPr>
                <w:rFonts w:ascii="Arial" w:eastAsia="Times New Roman" w:hAnsi="Arial" w:cs="Arial"/>
                <w:color w:val="000000"/>
                <w:sz w:val="18"/>
                <w:szCs w:val="18"/>
                <w:lang w:eastAsia="en-AU"/>
              </w:rPr>
              <w:t xml:space="preserve">Graduate </w:t>
            </w:r>
            <w:r w:rsidRPr="00C0246B">
              <w:rPr>
                <w:rFonts w:ascii="Arial" w:eastAsia="Times New Roman" w:hAnsi="Arial" w:cs="Arial"/>
                <w:color w:val="000000"/>
                <w:sz w:val="18"/>
                <w:szCs w:val="18"/>
                <w:lang w:eastAsia="en-AU"/>
              </w:rPr>
              <w:t>Certificate</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5,967</w:t>
            </w:r>
            <w:r w:rsidR="00C469E0" w:rsidRPr="00C0246B">
              <w:rPr>
                <w:rFonts w:ascii="Arial" w:hAnsi="Arial" w:cs="Arial"/>
                <w:sz w:val="18"/>
                <w:szCs w:val="18"/>
              </w:rPr>
              <w:t xml:space="preserve"> </w:t>
            </w:r>
            <w:r w:rsidRPr="00C0246B">
              <w:rPr>
                <w:rFonts w:ascii="Arial" w:hAnsi="Arial" w:cs="Arial"/>
                <w:sz w:val="18"/>
                <w:szCs w:val="18"/>
              </w:rPr>
              <w:t>(1.5%)</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35.6%</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64.4%</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4,311</w:t>
            </w:r>
            <w:r w:rsidR="00C469E0" w:rsidRPr="00C0246B">
              <w:rPr>
                <w:rFonts w:ascii="Arial" w:hAnsi="Arial" w:cs="Arial"/>
                <w:sz w:val="18"/>
                <w:szCs w:val="18"/>
              </w:rPr>
              <w:t xml:space="preserve"> </w:t>
            </w:r>
            <w:r w:rsidRPr="00C0246B">
              <w:rPr>
                <w:rFonts w:ascii="Arial" w:hAnsi="Arial" w:cs="Arial"/>
                <w:sz w:val="18"/>
                <w:szCs w:val="18"/>
              </w:rPr>
              <w:t>(1.1%)</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37.8%</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62.2%</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Bachelor Degree</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41,518</w:t>
            </w:r>
            <w:r w:rsidR="00C469E0" w:rsidRPr="00C0246B">
              <w:rPr>
                <w:rFonts w:ascii="Arial" w:hAnsi="Arial" w:cs="Arial"/>
                <w:sz w:val="18"/>
                <w:szCs w:val="18"/>
              </w:rPr>
              <w:t xml:space="preserve"> </w:t>
            </w:r>
            <w:r w:rsidRPr="00C0246B">
              <w:rPr>
                <w:rFonts w:ascii="Arial" w:hAnsi="Arial" w:cs="Arial"/>
                <w:sz w:val="18"/>
                <w:szCs w:val="18"/>
              </w:rPr>
              <w:t>(10.3%)</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40.9%</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59.1%</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34,865</w:t>
            </w:r>
            <w:r w:rsidR="00C469E0" w:rsidRPr="00C0246B">
              <w:rPr>
                <w:rFonts w:ascii="Arial" w:hAnsi="Arial" w:cs="Arial"/>
                <w:sz w:val="18"/>
                <w:szCs w:val="18"/>
              </w:rPr>
              <w:t xml:space="preserve"> </w:t>
            </w:r>
            <w:r w:rsidRPr="00C0246B">
              <w:rPr>
                <w:rFonts w:ascii="Arial" w:hAnsi="Arial" w:cs="Arial"/>
                <w:sz w:val="18"/>
                <w:szCs w:val="18"/>
              </w:rPr>
              <w:t>(9.1%)</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41.7%</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58.3%</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Advanced Diploma and Diploma</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26,609</w:t>
            </w:r>
            <w:r w:rsidR="00C469E0" w:rsidRPr="00C0246B">
              <w:rPr>
                <w:rFonts w:ascii="Arial" w:hAnsi="Arial" w:cs="Arial"/>
                <w:sz w:val="18"/>
                <w:szCs w:val="18"/>
              </w:rPr>
              <w:t xml:space="preserve"> </w:t>
            </w:r>
            <w:r w:rsidRPr="00C0246B">
              <w:rPr>
                <w:rFonts w:ascii="Arial" w:hAnsi="Arial" w:cs="Arial"/>
                <w:sz w:val="18"/>
                <w:szCs w:val="18"/>
              </w:rPr>
              <w:t>(6.6%)</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43.0%</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57.0%</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22,654</w:t>
            </w:r>
            <w:r w:rsidR="00C469E0" w:rsidRPr="00C0246B">
              <w:rPr>
                <w:rFonts w:ascii="Arial" w:hAnsi="Arial" w:cs="Arial"/>
                <w:sz w:val="18"/>
                <w:szCs w:val="18"/>
              </w:rPr>
              <w:t xml:space="preserve"> </w:t>
            </w:r>
            <w:r w:rsidRPr="00C0246B">
              <w:rPr>
                <w:rFonts w:ascii="Arial" w:hAnsi="Arial" w:cs="Arial"/>
                <w:sz w:val="18"/>
                <w:szCs w:val="18"/>
              </w:rPr>
              <w:t>(5.9%)</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43.6%</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56.4%</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Certificate III/IV</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69,351</w:t>
            </w:r>
            <w:r w:rsidR="00C469E0" w:rsidRPr="00C0246B">
              <w:rPr>
                <w:rFonts w:ascii="Arial" w:hAnsi="Arial" w:cs="Arial"/>
                <w:sz w:val="18"/>
                <w:szCs w:val="18"/>
              </w:rPr>
              <w:t xml:space="preserve"> </w:t>
            </w:r>
            <w:r w:rsidRPr="00C0246B">
              <w:rPr>
                <w:rFonts w:ascii="Arial" w:hAnsi="Arial" w:cs="Arial"/>
                <w:sz w:val="18"/>
                <w:szCs w:val="18"/>
              </w:rPr>
              <w:t>(17.3%)</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69.1%</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30.9%</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57,169</w:t>
            </w:r>
            <w:r w:rsidR="00C469E0" w:rsidRPr="00C0246B">
              <w:rPr>
                <w:rFonts w:ascii="Arial" w:hAnsi="Arial" w:cs="Arial"/>
                <w:sz w:val="18"/>
                <w:szCs w:val="18"/>
              </w:rPr>
              <w:t xml:space="preserve"> </w:t>
            </w:r>
            <w:r w:rsidRPr="00C0246B">
              <w:rPr>
                <w:rFonts w:ascii="Arial" w:hAnsi="Arial" w:cs="Arial"/>
                <w:sz w:val="18"/>
                <w:szCs w:val="18"/>
              </w:rPr>
              <w:t>(14.9%)</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73.1%</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26.9%</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Year 12</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50,201</w:t>
            </w:r>
            <w:r w:rsidR="00C469E0" w:rsidRPr="00C0246B">
              <w:rPr>
                <w:rFonts w:ascii="Arial" w:hAnsi="Arial" w:cs="Arial"/>
                <w:sz w:val="18"/>
                <w:szCs w:val="18"/>
              </w:rPr>
              <w:t xml:space="preserve"> </w:t>
            </w:r>
            <w:r w:rsidRPr="00C0246B">
              <w:rPr>
                <w:rFonts w:ascii="Arial" w:hAnsi="Arial" w:cs="Arial"/>
                <w:sz w:val="18"/>
                <w:szCs w:val="18"/>
              </w:rPr>
              <w:t>(12.5%)</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45.8%</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54.2%</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46,636</w:t>
            </w:r>
            <w:r w:rsidR="00C469E0" w:rsidRPr="00C0246B">
              <w:rPr>
                <w:rFonts w:ascii="Arial" w:hAnsi="Arial" w:cs="Arial"/>
                <w:sz w:val="18"/>
                <w:szCs w:val="18"/>
              </w:rPr>
              <w:t xml:space="preserve"> </w:t>
            </w:r>
            <w:r w:rsidRPr="00C0246B">
              <w:rPr>
                <w:rFonts w:ascii="Arial" w:hAnsi="Arial" w:cs="Arial"/>
                <w:sz w:val="18"/>
                <w:szCs w:val="18"/>
              </w:rPr>
              <w:t>(12.2%)</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45.55</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54.5%</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Year 11 or below (includes Certificate I/II/nfd)</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152,554</w:t>
            </w:r>
            <w:r w:rsidR="00C469E0" w:rsidRPr="00C0246B">
              <w:rPr>
                <w:rFonts w:ascii="Arial" w:hAnsi="Arial" w:cs="Arial"/>
                <w:sz w:val="18"/>
                <w:szCs w:val="18"/>
              </w:rPr>
              <w:t xml:space="preserve"> </w:t>
            </w:r>
            <w:r w:rsidRPr="00C0246B">
              <w:rPr>
                <w:rFonts w:ascii="Arial" w:hAnsi="Arial" w:cs="Arial"/>
                <w:sz w:val="18"/>
                <w:szCs w:val="18"/>
              </w:rPr>
              <w:t>(38.0%)</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43.9%</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56.1%</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158,389</w:t>
            </w:r>
            <w:r w:rsidR="00C469E0" w:rsidRPr="00C0246B">
              <w:rPr>
                <w:rFonts w:ascii="Arial" w:hAnsi="Arial" w:cs="Arial"/>
                <w:sz w:val="18"/>
                <w:szCs w:val="18"/>
              </w:rPr>
              <w:t xml:space="preserve"> </w:t>
            </w:r>
            <w:r w:rsidRPr="00C0246B">
              <w:rPr>
                <w:rFonts w:ascii="Arial" w:hAnsi="Arial" w:cs="Arial"/>
                <w:sz w:val="18"/>
                <w:szCs w:val="18"/>
              </w:rPr>
              <w:t>(41.4%)</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43.1%</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56.9%</w:t>
            </w:r>
          </w:p>
        </w:tc>
      </w:tr>
      <w:tr w:rsidR="003A0DBE" w:rsidTr="00C0246B">
        <w:tc>
          <w:tcPr>
            <w:tcW w:w="1879" w:type="dxa"/>
            <w:shd w:val="clear" w:color="auto" w:fill="8DB3E2" w:themeFill="text2" w:themeFillTint="66"/>
            <w:vAlign w:val="bottom"/>
          </w:tcPr>
          <w:p w:rsidR="003A0DBE" w:rsidRPr="00C0246B" w:rsidRDefault="003A0DBE" w:rsidP="00C0246B">
            <w:pPr>
              <w:spacing w:before="60"/>
              <w:rPr>
                <w:rFonts w:ascii="Arial" w:eastAsia="Times New Roman" w:hAnsi="Arial" w:cs="Arial"/>
                <w:color w:val="000000"/>
                <w:sz w:val="18"/>
                <w:szCs w:val="18"/>
                <w:lang w:eastAsia="en-AU"/>
              </w:rPr>
            </w:pPr>
            <w:r w:rsidRPr="00C0246B">
              <w:rPr>
                <w:rFonts w:ascii="Arial" w:eastAsia="Times New Roman" w:hAnsi="Arial" w:cs="Arial"/>
                <w:color w:val="000000"/>
                <w:sz w:val="18"/>
                <w:szCs w:val="18"/>
                <w:lang w:eastAsia="en-AU"/>
              </w:rPr>
              <w:t>Total persons</w:t>
            </w:r>
          </w:p>
        </w:tc>
        <w:tc>
          <w:tcPr>
            <w:tcW w:w="194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401,483</w:t>
            </w:r>
            <w:r w:rsidR="00C469E0" w:rsidRPr="00C0246B">
              <w:rPr>
                <w:rFonts w:ascii="Arial" w:hAnsi="Arial" w:cs="Arial"/>
                <w:sz w:val="18"/>
                <w:szCs w:val="18"/>
              </w:rPr>
              <w:t xml:space="preserve"> </w:t>
            </w:r>
            <w:r w:rsidRPr="00C0246B">
              <w:rPr>
                <w:rFonts w:ascii="Arial" w:hAnsi="Arial" w:cs="Arial"/>
                <w:sz w:val="18"/>
                <w:szCs w:val="18"/>
              </w:rPr>
              <w:t>(</w:t>
            </w:r>
            <w:r w:rsidR="00C469E0" w:rsidRPr="00C0246B">
              <w:rPr>
                <w:rFonts w:ascii="Arial" w:hAnsi="Arial" w:cs="Arial"/>
                <w:sz w:val="18"/>
                <w:szCs w:val="18"/>
              </w:rPr>
              <w:t>100</w:t>
            </w:r>
            <w:r w:rsidRPr="00C0246B">
              <w:rPr>
                <w:rFonts w:ascii="Arial" w:hAnsi="Arial" w:cs="Arial"/>
                <w:sz w:val="18"/>
                <w:szCs w:val="18"/>
              </w:rPr>
              <w:t>%)</w:t>
            </w:r>
          </w:p>
        </w:tc>
        <w:tc>
          <w:tcPr>
            <w:tcW w:w="992"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48.5%</w:t>
            </w:r>
          </w:p>
        </w:tc>
        <w:tc>
          <w:tcPr>
            <w:tcW w:w="1126"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51.5%</w:t>
            </w:r>
          </w:p>
        </w:tc>
        <w:tc>
          <w:tcPr>
            <w:tcW w:w="1848"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382,454</w:t>
            </w:r>
            <w:r w:rsidR="00C469E0" w:rsidRPr="00C0246B">
              <w:rPr>
                <w:rFonts w:ascii="Arial" w:hAnsi="Arial" w:cs="Arial"/>
                <w:sz w:val="18"/>
                <w:szCs w:val="18"/>
              </w:rPr>
              <w:t xml:space="preserve"> </w:t>
            </w:r>
            <w:r w:rsidRPr="00C0246B">
              <w:rPr>
                <w:rFonts w:ascii="Arial" w:hAnsi="Arial" w:cs="Arial"/>
                <w:sz w:val="18"/>
                <w:szCs w:val="18"/>
              </w:rPr>
              <w:t>(100.0%)</w:t>
            </w:r>
          </w:p>
        </w:tc>
        <w:tc>
          <w:tcPr>
            <w:tcW w:w="1327"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48.4%</w:t>
            </w:r>
          </w:p>
        </w:tc>
        <w:tc>
          <w:tcPr>
            <w:tcW w:w="1369" w:type="dxa"/>
            <w:shd w:val="clear" w:color="auto" w:fill="C6D9F1" w:themeFill="text2" w:themeFillTint="33"/>
            <w:vAlign w:val="bottom"/>
          </w:tcPr>
          <w:p w:rsidR="003A0DBE" w:rsidRPr="00C0246B" w:rsidRDefault="003A0DBE" w:rsidP="00C0246B">
            <w:pPr>
              <w:jc w:val="right"/>
              <w:rPr>
                <w:rFonts w:ascii="Arial" w:hAnsi="Arial" w:cs="Arial"/>
                <w:sz w:val="18"/>
                <w:szCs w:val="18"/>
              </w:rPr>
            </w:pPr>
            <w:r w:rsidRPr="00C0246B">
              <w:rPr>
                <w:rFonts w:ascii="Arial" w:hAnsi="Arial" w:cs="Arial"/>
                <w:sz w:val="18"/>
                <w:szCs w:val="18"/>
              </w:rPr>
              <w:t>51.6%</w:t>
            </w:r>
          </w:p>
        </w:tc>
      </w:tr>
    </w:tbl>
    <w:p w:rsidR="00726F2A" w:rsidRPr="00D062B7" w:rsidRDefault="00C469E0" w:rsidP="00D062B7">
      <w:pPr>
        <w:ind w:left="-851"/>
        <w:rPr>
          <w:rFonts w:ascii="Arial" w:hAnsi="Arial" w:cs="Arial"/>
          <w:color w:val="000000" w:themeColor="text1"/>
          <w:sz w:val="18"/>
          <w:szCs w:val="18"/>
        </w:rPr>
      </w:pPr>
      <w:r w:rsidRPr="00D062B7">
        <w:rPr>
          <w:rFonts w:ascii="Arial" w:hAnsi="Arial" w:cs="Arial"/>
          <w:color w:val="000000" w:themeColor="text1"/>
          <w:sz w:val="18"/>
          <w:szCs w:val="18"/>
        </w:rPr>
        <w:t>nfd: not further defined</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In 2011, there was a significant increase in number of persons who reported completing a Postgraduate Degree. This increased from 6,335 in 2006 to 9,537 in 2011 (a 50.5% increase).</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sidRPr="008415AC">
        <w:rPr>
          <w:rFonts w:ascii="Arial" w:hAnsi="Arial" w:cs="Arial"/>
          <w:b/>
          <w:bCs/>
          <w:color w:val="4181C0"/>
          <w:sz w:val="18"/>
          <w:szCs w:val="18"/>
        </w:rPr>
        <w:t xml:space="preserve">There has also been </w:t>
      </w:r>
      <w:r>
        <w:rPr>
          <w:rFonts w:ascii="Arial" w:hAnsi="Arial" w:cs="Arial"/>
          <w:b/>
          <w:bCs/>
          <w:color w:val="4181C0"/>
          <w:sz w:val="18"/>
          <w:szCs w:val="18"/>
        </w:rPr>
        <w:t>an</w:t>
      </w:r>
      <w:r w:rsidRPr="008415AC">
        <w:rPr>
          <w:rFonts w:ascii="Arial" w:hAnsi="Arial" w:cs="Arial"/>
          <w:b/>
          <w:bCs/>
          <w:color w:val="4181C0"/>
          <w:sz w:val="18"/>
          <w:szCs w:val="18"/>
        </w:rPr>
        <w:t xml:space="preserve"> increase in numbers of those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sidR="00C469E0">
        <w:rPr>
          <w:rFonts w:ascii="Arial" w:hAnsi="Arial" w:cs="Arial"/>
          <w:b/>
          <w:bCs/>
          <w:color w:val="4181C0"/>
          <w:sz w:val="18"/>
          <w:szCs w:val="18"/>
        </w:rPr>
        <w:t xml:space="preserve">Graduate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4,3</w:t>
      </w:r>
      <w:r w:rsidR="00913480">
        <w:rPr>
          <w:rFonts w:ascii="Arial" w:hAnsi="Arial" w:cs="Arial"/>
          <w:b/>
          <w:bCs/>
          <w:color w:val="4181C0"/>
          <w:sz w:val="18"/>
          <w:szCs w:val="18"/>
        </w:rPr>
        <w:t>1</w:t>
      </w:r>
      <w:r>
        <w:rPr>
          <w:rFonts w:ascii="Arial" w:hAnsi="Arial" w:cs="Arial"/>
          <w:b/>
          <w:bCs/>
          <w:color w:val="4181C0"/>
          <w:sz w:val="18"/>
          <w:szCs w:val="18"/>
        </w:rPr>
        <w:t>1</w:t>
      </w:r>
      <w:r w:rsidRPr="008415AC">
        <w:rPr>
          <w:rFonts w:ascii="Arial" w:hAnsi="Arial" w:cs="Arial"/>
          <w:b/>
          <w:bCs/>
          <w:color w:val="4181C0"/>
          <w:sz w:val="18"/>
          <w:szCs w:val="18"/>
        </w:rPr>
        <w:t xml:space="preserve"> in 2006 to </w:t>
      </w:r>
      <w:r>
        <w:rPr>
          <w:rFonts w:ascii="Arial" w:hAnsi="Arial" w:cs="Arial"/>
          <w:b/>
          <w:bCs/>
          <w:color w:val="4181C0"/>
          <w:sz w:val="18"/>
          <w:szCs w:val="18"/>
        </w:rPr>
        <w:t>5,967</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w:t>
      </w:r>
      <w:r w:rsidR="00913480">
        <w:rPr>
          <w:rFonts w:ascii="Arial" w:hAnsi="Arial" w:cs="Arial"/>
          <w:b/>
          <w:bCs/>
          <w:color w:val="4181C0"/>
          <w:sz w:val="18"/>
          <w:szCs w:val="18"/>
        </w:rPr>
        <w:t>38.4</w:t>
      </w:r>
      <w:bookmarkStart w:id="0" w:name="_GoBack"/>
      <w:bookmarkEnd w:id="0"/>
      <w:r>
        <w:rPr>
          <w:rFonts w:ascii="Arial" w:hAnsi="Arial" w:cs="Arial"/>
          <w:b/>
          <w:bCs/>
          <w:color w:val="4181C0"/>
          <w:sz w:val="18"/>
          <w:szCs w:val="18"/>
        </w:rPr>
        <w:t>%).</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There was </w:t>
      </w:r>
      <w:r w:rsidR="00C469E0">
        <w:rPr>
          <w:rFonts w:ascii="Arial" w:hAnsi="Arial" w:cs="Arial"/>
          <w:b/>
          <w:bCs/>
          <w:color w:val="4181C0"/>
          <w:sz w:val="18"/>
          <w:szCs w:val="18"/>
        </w:rPr>
        <w:t>an increase (19.0%)</w:t>
      </w:r>
      <w:r>
        <w:rPr>
          <w:rFonts w:ascii="Arial" w:hAnsi="Arial" w:cs="Arial"/>
          <w:b/>
          <w:bCs/>
          <w:color w:val="4181C0"/>
          <w:sz w:val="18"/>
          <w:szCs w:val="18"/>
        </w:rPr>
        <w:t xml:space="preserve"> in the</w:t>
      </w:r>
      <w:r w:rsidR="00C469E0">
        <w:rPr>
          <w:rFonts w:ascii="Arial" w:hAnsi="Arial" w:cs="Arial"/>
          <w:b/>
          <w:bCs/>
          <w:color w:val="4181C0"/>
          <w:sz w:val="18"/>
          <w:szCs w:val="18"/>
        </w:rPr>
        <w:t xml:space="preserve"> number of 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34,865 in 2006 to 41,</w:t>
      </w:r>
      <w:r w:rsidR="00C469E0">
        <w:rPr>
          <w:rFonts w:ascii="Arial" w:hAnsi="Arial" w:cs="Arial"/>
          <w:b/>
          <w:bCs/>
          <w:color w:val="4181C0"/>
          <w:sz w:val="18"/>
          <w:szCs w:val="18"/>
        </w:rPr>
        <w:t>518 in 2011</w:t>
      </w:r>
      <w:r>
        <w:rPr>
          <w:rFonts w:ascii="Arial" w:hAnsi="Arial" w:cs="Arial"/>
          <w:b/>
          <w:bCs/>
          <w:color w:val="4181C0"/>
          <w:sz w:val="18"/>
          <w:szCs w:val="18"/>
        </w:rPr>
        <w:t>.</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Pr="005F7046">
        <w:rPr>
          <w:rFonts w:ascii="Arial" w:hAnsi="Arial" w:cs="Arial"/>
          <w:b/>
          <w:bCs/>
          <w:color w:val="4181C0"/>
          <w:sz w:val="18"/>
          <w:szCs w:val="18"/>
        </w:rPr>
        <w:t xml:space="preserve">ecline in </w:t>
      </w:r>
      <w:r>
        <w:rPr>
          <w:rFonts w:ascii="Arial" w:hAnsi="Arial" w:cs="Arial"/>
          <w:b/>
          <w:bCs/>
          <w:color w:val="4181C0"/>
          <w:sz w:val="18"/>
          <w:szCs w:val="18"/>
        </w:rPr>
        <w:t xml:space="preserve">number of </w:t>
      </w:r>
      <w:r w:rsidR="00C469E0">
        <w:rPr>
          <w:rFonts w:ascii="Arial" w:hAnsi="Arial" w:cs="Arial"/>
          <w:b/>
          <w:bCs/>
          <w:color w:val="4181C0"/>
          <w:sz w:val="18"/>
          <w:szCs w:val="18"/>
        </w:rPr>
        <w:t>persons</w:t>
      </w:r>
      <w:r w:rsidRPr="005F7046">
        <w:rPr>
          <w:rFonts w:ascii="Arial" w:hAnsi="Arial" w:cs="Arial"/>
          <w:b/>
          <w:bCs/>
          <w:color w:val="4181C0"/>
          <w:sz w:val="18"/>
          <w:szCs w:val="18"/>
        </w:rPr>
        <w:t xml:space="preserve"> who reported Year 11 and below</w:t>
      </w:r>
      <w:r w:rsidR="00C469E0">
        <w:rPr>
          <w:rFonts w:ascii="Arial" w:hAnsi="Arial" w:cs="Arial"/>
          <w:b/>
          <w:bCs/>
          <w:color w:val="4181C0"/>
          <w:sz w:val="18"/>
          <w:szCs w:val="18"/>
        </w:rPr>
        <w:t xml:space="preserve"> (</w:t>
      </w:r>
      <w:r w:rsidRPr="005F7046">
        <w:rPr>
          <w:rFonts w:ascii="Arial" w:hAnsi="Arial" w:cs="Arial"/>
          <w:b/>
          <w:bCs/>
          <w:color w:val="4181C0"/>
          <w:sz w:val="18"/>
          <w:szCs w:val="18"/>
        </w:rPr>
        <w:t>in</w:t>
      </w:r>
      <w:r>
        <w:rPr>
          <w:rFonts w:ascii="Arial" w:hAnsi="Arial" w:cs="Arial"/>
          <w:b/>
          <w:bCs/>
          <w:color w:val="4181C0"/>
          <w:sz w:val="18"/>
          <w:szCs w:val="18"/>
        </w:rPr>
        <w:t xml:space="preserve">cluding Certificate level 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w:t>
      </w:r>
      <w:r>
        <w:rPr>
          <w:rFonts w:ascii="Arial" w:hAnsi="Arial" w:cs="Arial"/>
          <w:b/>
          <w:bCs/>
          <w:color w:val="4181C0"/>
          <w:sz w:val="18"/>
          <w:szCs w:val="18"/>
        </w:rPr>
        <w:t>158,389</w:t>
      </w:r>
      <w:r w:rsidRPr="005F7046">
        <w:rPr>
          <w:rFonts w:ascii="Arial" w:hAnsi="Arial" w:cs="Arial"/>
          <w:b/>
          <w:bCs/>
          <w:color w:val="4181C0"/>
          <w:sz w:val="18"/>
          <w:szCs w:val="18"/>
        </w:rPr>
        <w:t xml:space="preserve"> </w:t>
      </w:r>
      <w:r>
        <w:rPr>
          <w:rFonts w:ascii="Arial" w:hAnsi="Arial" w:cs="Arial"/>
          <w:b/>
          <w:bCs/>
          <w:color w:val="4181C0"/>
          <w:sz w:val="18"/>
          <w:szCs w:val="18"/>
        </w:rPr>
        <w:t xml:space="preserve">(41.4%) in 2006 </w:t>
      </w:r>
      <w:r w:rsidRPr="005F7046">
        <w:rPr>
          <w:rFonts w:ascii="Arial" w:hAnsi="Arial" w:cs="Arial"/>
          <w:b/>
          <w:bCs/>
          <w:color w:val="4181C0"/>
          <w:sz w:val="18"/>
          <w:szCs w:val="18"/>
        </w:rPr>
        <w:t xml:space="preserve">to </w:t>
      </w:r>
      <w:r>
        <w:rPr>
          <w:rFonts w:ascii="Arial" w:hAnsi="Arial" w:cs="Arial"/>
          <w:b/>
          <w:bCs/>
          <w:color w:val="4181C0"/>
          <w:sz w:val="18"/>
          <w:szCs w:val="18"/>
        </w:rPr>
        <w:t>152,554</w:t>
      </w:r>
      <w:r w:rsidRPr="005F7046">
        <w:rPr>
          <w:rFonts w:ascii="Arial" w:hAnsi="Arial" w:cs="Arial"/>
          <w:b/>
          <w:bCs/>
          <w:color w:val="4181C0"/>
          <w:sz w:val="18"/>
          <w:szCs w:val="18"/>
        </w:rPr>
        <w:t xml:space="preserve"> </w:t>
      </w:r>
      <w:r>
        <w:rPr>
          <w:rFonts w:ascii="Arial" w:hAnsi="Arial" w:cs="Arial"/>
          <w:b/>
          <w:bCs/>
          <w:color w:val="4181C0"/>
          <w:sz w:val="18"/>
          <w:szCs w:val="18"/>
        </w:rPr>
        <w:t xml:space="preserve">(38.0%) </w:t>
      </w:r>
      <w:r w:rsidRPr="005F7046">
        <w:rPr>
          <w:rFonts w:ascii="Arial" w:hAnsi="Arial" w:cs="Arial"/>
          <w:b/>
          <w:bCs/>
          <w:color w:val="4181C0"/>
          <w:sz w:val="18"/>
          <w:szCs w:val="18"/>
        </w:rPr>
        <w:t>in 2011.</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sidRPr="008415AC">
        <w:rPr>
          <w:rFonts w:ascii="Arial" w:hAnsi="Arial" w:cs="Arial"/>
          <w:b/>
          <w:bCs/>
          <w:color w:val="4181C0"/>
          <w:sz w:val="18"/>
          <w:szCs w:val="18"/>
        </w:rPr>
        <w:t xml:space="preserve">A higher proportion of </w:t>
      </w:r>
      <w:r w:rsidR="00C469E0">
        <w:rPr>
          <w:rFonts w:ascii="Arial" w:hAnsi="Arial" w:cs="Arial"/>
          <w:b/>
          <w:bCs/>
          <w:color w:val="4181C0"/>
          <w:sz w:val="18"/>
          <w:szCs w:val="18"/>
        </w:rPr>
        <w:t>females than males</w:t>
      </w:r>
      <w:r w:rsidRPr="008415AC">
        <w:rPr>
          <w:rFonts w:ascii="Arial" w:hAnsi="Arial" w:cs="Arial"/>
          <w:b/>
          <w:bCs/>
          <w:color w:val="4181C0"/>
          <w:sz w:val="18"/>
          <w:szCs w:val="18"/>
        </w:rPr>
        <w:t xml:space="preserve">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 xml:space="preserve">Graduate Diploma or </w:t>
      </w:r>
      <w:r w:rsidR="00C469E0">
        <w:rPr>
          <w:rFonts w:ascii="Arial" w:hAnsi="Arial" w:cs="Arial"/>
          <w:b/>
          <w:bCs/>
          <w:color w:val="4181C0"/>
          <w:sz w:val="18"/>
          <w:szCs w:val="18"/>
        </w:rPr>
        <w:t xml:space="preserve">Graduate </w:t>
      </w:r>
      <w:r w:rsidRPr="008415AC">
        <w:rPr>
          <w:rFonts w:ascii="Arial" w:hAnsi="Arial" w:cs="Arial"/>
          <w:b/>
          <w:bCs/>
          <w:color w:val="4181C0"/>
          <w:sz w:val="18"/>
          <w:szCs w:val="18"/>
        </w:rPr>
        <w:t>Certificate</w:t>
      </w:r>
      <w:r>
        <w:rPr>
          <w:rFonts w:ascii="Arial" w:hAnsi="Arial" w:cs="Arial"/>
          <w:b/>
          <w:bCs/>
          <w:color w:val="4181C0"/>
          <w:sz w:val="18"/>
          <w:szCs w:val="18"/>
        </w:rPr>
        <w:t>, Bachelo</w:t>
      </w:r>
      <w:r w:rsidR="00C469E0">
        <w:rPr>
          <w:rFonts w:ascii="Arial" w:hAnsi="Arial" w:cs="Arial"/>
          <w:b/>
          <w:bCs/>
          <w:color w:val="4181C0"/>
          <w:sz w:val="18"/>
          <w:szCs w:val="18"/>
        </w:rPr>
        <w:t>r Degree and Advance Diploma or</w:t>
      </w:r>
      <w:r>
        <w:rPr>
          <w:rFonts w:ascii="Arial" w:hAnsi="Arial" w:cs="Arial"/>
          <w:b/>
          <w:bCs/>
          <w:color w:val="4181C0"/>
          <w:sz w:val="18"/>
          <w:szCs w:val="18"/>
        </w:rPr>
        <w:t xml:space="preserve"> Diploma (64.4%, 59.1% and 57.0% respectively).</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a higher proportion were males (69.1%). </w:t>
      </w: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3A0DBE" w:rsidRPr="003836C7" w:rsidRDefault="003A0DBE" w:rsidP="003A0DBE">
      <w:pPr>
        <w:spacing w:after="0"/>
        <w:jc w:val="center"/>
        <w:rPr>
          <w:rFonts w:ascii="Arial" w:hAnsi="Arial" w:cs="Arial"/>
          <w:b/>
          <w:sz w:val="32"/>
          <w:szCs w:val="32"/>
        </w:rPr>
      </w:pPr>
      <w:r>
        <w:rPr>
          <w:rFonts w:ascii="Arial" w:hAnsi="Arial" w:cs="Arial"/>
          <w:b/>
          <w:sz w:val="32"/>
          <w:szCs w:val="32"/>
        </w:rPr>
        <w:t>Tasmania</w:t>
      </w:r>
    </w:p>
    <w:p w:rsidR="00CE1624" w:rsidRPr="00BF1EC3" w:rsidRDefault="00CE1624" w:rsidP="00CE1624">
      <w:pPr>
        <w:spacing w:after="0"/>
        <w:jc w:val="center"/>
        <w:rPr>
          <w:rFonts w:ascii="Arial" w:hAnsi="Arial" w:cs="Arial"/>
          <w:b/>
          <w:sz w:val="28"/>
          <w:szCs w:val="28"/>
        </w:rPr>
      </w:pPr>
    </w:p>
    <w:p w:rsidR="0027431A" w:rsidRPr="00433831" w:rsidRDefault="00577B41" w:rsidP="00B5694C">
      <w:pPr>
        <w:jc w:val="center"/>
        <w:rPr>
          <w:rFonts w:ascii="Arial" w:hAnsi="Arial" w:cs="Arial"/>
          <w:b/>
          <w:sz w:val="28"/>
          <w:szCs w:val="28"/>
        </w:rPr>
      </w:pPr>
      <w:r w:rsidRPr="00577B41">
        <w:rPr>
          <w:rFonts w:ascii="Arial" w:hAnsi="Arial" w:cs="Arial"/>
          <w:b/>
          <w:color w:val="000000" w:themeColor="text1"/>
          <w:sz w:val="28"/>
          <w:szCs w:val="28"/>
        </w:rPr>
        <w:t xml:space="preserve">Top </w:t>
      </w:r>
      <w:r w:rsidR="00D062C6">
        <w:rPr>
          <w:rFonts w:ascii="Arial" w:hAnsi="Arial" w:cs="Arial"/>
          <w:b/>
          <w:color w:val="000000" w:themeColor="text1"/>
          <w:sz w:val="28"/>
          <w:szCs w:val="28"/>
        </w:rPr>
        <w:t>five</w:t>
      </w:r>
      <w:r w:rsidRPr="00577B41">
        <w:rPr>
          <w:rFonts w:ascii="Arial" w:hAnsi="Arial" w:cs="Arial"/>
          <w:b/>
          <w:color w:val="000000" w:themeColor="text1"/>
          <w:sz w:val="28"/>
          <w:szCs w:val="28"/>
        </w:rPr>
        <w:t xml:space="preserve"> Fields of Study</w:t>
      </w:r>
      <w:r w:rsidRPr="00577B41">
        <w:rPr>
          <w:rFonts w:ascii="Arial" w:eastAsia="Times New Roman" w:hAnsi="Arial" w:cs="Arial"/>
          <w:b/>
          <w:color w:val="000000"/>
          <w:sz w:val="28"/>
          <w:szCs w:val="28"/>
          <w:lang w:eastAsia="en-AU"/>
        </w:rPr>
        <w:t xml:space="preserve"> </w:t>
      </w:r>
      <w:r w:rsidRPr="00577B41">
        <w:rPr>
          <w:rFonts w:ascii="Arial" w:hAnsi="Arial" w:cs="Arial"/>
          <w:b/>
          <w:color w:val="000000" w:themeColor="text1"/>
          <w:sz w:val="28"/>
          <w:szCs w:val="28"/>
        </w:rPr>
        <w:t>in 2011</w:t>
      </w:r>
      <w:r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Pr>
          <w:rFonts w:ascii="Arial" w:eastAsia="Times New Roman" w:hAnsi="Arial" w:cs="Arial"/>
          <w:b/>
          <w:color w:val="000000"/>
          <w:sz w:val="28"/>
          <w:szCs w:val="28"/>
          <w:lang w:eastAsia="en-AU"/>
        </w:rPr>
        <w:t xml:space="preserve">over who </w:t>
      </w:r>
      <w:r>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C0246B">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C0246B">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C0246B">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C0246B">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C0246B">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C0246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C0246B">
            <w:pPr>
              <w:jc w:val="right"/>
              <w:rPr>
                <w:rFonts w:ascii="Arial" w:hAnsi="Arial" w:cs="Arial"/>
                <w:b/>
              </w:rPr>
            </w:pPr>
            <w:r w:rsidRPr="002E42CC">
              <w:rPr>
                <w:rFonts w:ascii="Arial" w:hAnsi="Arial" w:cs="Arial"/>
                <w:b/>
              </w:rPr>
              <w:t>Female</w:t>
            </w:r>
            <w:r>
              <w:rPr>
                <w:rFonts w:ascii="Arial" w:hAnsi="Arial" w:cs="Arial"/>
                <w:b/>
              </w:rPr>
              <w:t>s</w:t>
            </w:r>
          </w:p>
        </w:tc>
      </w:tr>
      <w:tr w:rsidR="003A0DBE" w:rsidRPr="008B58A5"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Engineering and Related Technologies</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32,643</w:t>
            </w:r>
            <w:r w:rsidR="00D062C6" w:rsidRPr="00C0246B">
              <w:rPr>
                <w:rFonts w:ascii="Arial" w:hAnsi="Arial" w:cs="Arial"/>
                <w:sz w:val="18"/>
                <w:szCs w:val="18"/>
              </w:rPr>
              <w:t xml:space="preserve"> </w:t>
            </w:r>
            <w:r w:rsidRPr="00C0246B">
              <w:rPr>
                <w:rFonts w:ascii="Arial" w:hAnsi="Arial" w:cs="Arial"/>
                <w:sz w:val="18"/>
                <w:szCs w:val="18"/>
              </w:rPr>
              <w:t>(15.9%)</w:t>
            </w:r>
          </w:p>
        </w:tc>
        <w:tc>
          <w:tcPr>
            <w:tcW w:w="94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93.9%</w:t>
            </w:r>
          </w:p>
        </w:tc>
        <w:tc>
          <w:tcPr>
            <w:tcW w:w="118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6.1%</w:t>
            </w:r>
          </w:p>
        </w:tc>
        <w:tc>
          <w:tcPr>
            <w:tcW w:w="184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29,717</w:t>
            </w:r>
            <w:r w:rsidR="00D062C6" w:rsidRPr="00C0246B">
              <w:rPr>
                <w:rFonts w:ascii="Arial" w:hAnsi="Arial" w:cs="Arial"/>
                <w:sz w:val="18"/>
                <w:szCs w:val="18"/>
              </w:rPr>
              <w:t xml:space="preserve"> </w:t>
            </w:r>
            <w:r w:rsidRPr="00C0246B">
              <w:rPr>
                <w:rFonts w:ascii="Arial" w:hAnsi="Arial" w:cs="Arial"/>
                <w:sz w:val="18"/>
                <w:szCs w:val="18"/>
              </w:rPr>
              <w:t>(16.2%)</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93.9%</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6.1%</w:t>
            </w:r>
          </w:p>
        </w:tc>
      </w:tr>
      <w:tr w:rsidR="003A0DBE" w:rsidRPr="008B58A5"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Management and Commerce</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29,479</w:t>
            </w:r>
            <w:r w:rsidR="00D062C6" w:rsidRPr="00C0246B">
              <w:rPr>
                <w:rFonts w:ascii="Arial" w:hAnsi="Arial" w:cs="Arial"/>
                <w:sz w:val="18"/>
                <w:szCs w:val="18"/>
              </w:rPr>
              <w:t xml:space="preserve"> </w:t>
            </w:r>
            <w:r w:rsidRPr="00C0246B">
              <w:rPr>
                <w:rFonts w:ascii="Arial" w:hAnsi="Arial" w:cs="Arial"/>
                <w:sz w:val="18"/>
                <w:szCs w:val="18"/>
              </w:rPr>
              <w:t>(14.3%)</w:t>
            </w:r>
          </w:p>
        </w:tc>
        <w:tc>
          <w:tcPr>
            <w:tcW w:w="94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36.5%</w:t>
            </w:r>
          </w:p>
        </w:tc>
        <w:tc>
          <w:tcPr>
            <w:tcW w:w="118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63.5%</w:t>
            </w:r>
          </w:p>
        </w:tc>
        <w:tc>
          <w:tcPr>
            <w:tcW w:w="184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23,530</w:t>
            </w:r>
            <w:r w:rsidR="00D062C6" w:rsidRPr="00C0246B">
              <w:rPr>
                <w:rFonts w:ascii="Arial" w:hAnsi="Arial" w:cs="Arial"/>
                <w:sz w:val="18"/>
                <w:szCs w:val="18"/>
              </w:rPr>
              <w:t xml:space="preserve"> </w:t>
            </w:r>
            <w:r w:rsidRPr="00C0246B">
              <w:rPr>
                <w:rFonts w:ascii="Arial" w:hAnsi="Arial" w:cs="Arial"/>
                <w:sz w:val="18"/>
                <w:szCs w:val="18"/>
              </w:rPr>
              <w:t>(12.8%)</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37.7%</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62.3%</w:t>
            </w:r>
          </w:p>
        </w:tc>
      </w:tr>
      <w:tr w:rsidR="003A0DBE" w:rsidRPr="008B58A5"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Society and Culture</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22,250</w:t>
            </w:r>
            <w:r w:rsidR="00D062C6" w:rsidRPr="00C0246B">
              <w:rPr>
                <w:rFonts w:ascii="Arial" w:hAnsi="Arial" w:cs="Arial"/>
                <w:sz w:val="18"/>
                <w:szCs w:val="18"/>
              </w:rPr>
              <w:t xml:space="preserve"> </w:t>
            </w:r>
            <w:r w:rsidRPr="00C0246B">
              <w:rPr>
                <w:rFonts w:ascii="Arial" w:hAnsi="Arial" w:cs="Arial"/>
                <w:sz w:val="18"/>
                <w:szCs w:val="18"/>
              </w:rPr>
              <w:t>(10.8%)</w:t>
            </w:r>
          </w:p>
        </w:tc>
        <w:tc>
          <w:tcPr>
            <w:tcW w:w="94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28.8%</w:t>
            </w:r>
          </w:p>
        </w:tc>
        <w:tc>
          <w:tcPr>
            <w:tcW w:w="118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71.2%</w:t>
            </w:r>
          </w:p>
        </w:tc>
        <w:tc>
          <w:tcPr>
            <w:tcW w:w="184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16,654</w:t>
            </w:r>
            <w:r w:rsidR="00D062C6" w:rsidRPr="00C0246B">
              <w:rPr>
                <w:rFonts w:ascii="Arial" w:hAnsi="Arial" w:cs="Arial"/>
                <w:sz w:val="18"/>
                <w:szCs w:val="18"/>
              </w:rPr>
              <w:t xml:space="preserve"> </w:t>
            </w:r>
            <w:r w:rsidRPr="00C0246B">
              <w:rPr>
                <w:rFonts w:ascii="Arial" w:hAnsi="Arial" w:cs="Arial"/>
                <w:sz w:val="18"/>
                <w:szCs w:val="18"/>
              </w:rPr>
              <w:t>(9.1%)</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30.7%</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69.3%</w:t>
            </w:r>
          </w:p>
        </w:tc>
      </w:tr>
      <w:tr w:rsidR="003A0DBE" w:rsidRPr="008B58A5"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Health</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19,908</w:t>
            </w:r>
            <w:r w:rsidR="00D062C6" w:rsidRPr="00C0246B">
              <w:rPr>
                <w:rFonts w:ascii="Arial" w:hAnsi="Arial" w:cs="Arial"/>
                <w:sz w:val="18"/>
                <w:szCs w:val="18"/>
              </w:rPr>
              <w:t xml:space="preserve"> </w:t>
            </w:r>
            <w:r w:rsidRPr="00C0246B">
              <w:rPr>
                <w:rFonts w:ascii="Arial" w:hAnsi="Arial" w:cs="Arial"/>
                <w:sz w:val="18"/>
                <w:szCs w:val="18"/>
              </w:rPr>
              <w:t>(9.7%)</w:t>
            </w:r>
          </w:p>
        </w:tc>
        <w:tc>
          <w:tcPr>
            <w:tcW w:w="94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21.4%</w:t>
            </w:r>
          </w:p>
        </w:tc>
        <w:tc>
          <w:tcPr>
            <w:tcW w:w="118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78.6%</w:t>
            </w:r>
          </w:p>
        </w:tc>
        <w:tc>
          <w:tcPr>
            <w:tcW w:w="184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16,419</w:t>
            </w:r>
            <w:r w:rsidR="00D062C6" w:rsidRPr="00C0246B">
              <w:rPr>
                <w:rFonts w:ascii="Arial" w:hAnsi="Arial" w:cs="Arial"/>
                <w:sz w:val="18"/>
                <w:szCs w:val="18"/>
              </w:rPr>
              <w:t xml:space="preserve"> </w:t>
            </w:r>
            <w:r w:rsidRPr="00C0246B">
              <w:rPr>
                <w:rFonts w:ascii="Arial" w:hAnsi="Arial" w:cs="Arial"/>
                <w:sz w:val="18"/>
                <w:szCs w:val="18"/>
              </w:rPr>
              <w:t>(9.0%)</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21.3%</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78.7%</w:t>
            </w:r>
          </w:p>
        </w:tc>
      </w:tr>
      <w:tr w:rsidR="003A0DBE" w:rsidRPr="008B58A5" w:rsidTr="00C0246B">
        <w:tc>
          <w:tcPr>
            <w:tcW w:w="2411"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Education</w:t>
            </w:r>
          </w:p>
        </w:tc>
        <w:tc>
          <w:tcPr>
            <w:tcW w:w="1842"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16,932</w:t>
            </w:r>
            <w:r w:rsidR="00D062C6" w:rsidRPr="00C0246B">
              <w:rPr>
                <w:rFonts w:ascii="Arial" w:hAnsi="Arial" w:cs="Arial"/>
                <w:sz w:val="18"/>
                <w:szCs w:val="18"/>
              </w:rPr>
              <w:t xml:space="preserve"> </w:t>
            </w:r>
            <w:r w:rsidRPr="00C0246B">
              <w:rPr>
                <w:rFonts w:ascii="Arial" w:hAnsi="Arial" w:cs="Arial"/>
                <w:sz w:val="18"/>
                <w:szCs w:val="18"/>
              </w:rPr>
              <w:t>(8.2%)</w:t>
            </w:r>
          </w:p>
        </w:tc>
        <w:tc>
          <w:tcPr>
            <w:tcW w:w="94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26.3%</w:t>
            </w:r>
          </w:p>
        </w:tc>
        <w:tc>
          <w:tcPr>
            <w:tcW w:w="118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73.7%</w:t>
            </w:r>
          </w:p>
        </w:tc>
        <w:tc>
          <w:tcPr>
            <w:tcW w:w="184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15,202</w:t>
            </w:r>
            <w:r w:rsidR="00D062C6" w:rsidRPr="00C0246B">
              <w:rPr>
                <w:rFonts w:ascii="Arial" w:hAnsi="Arial" w:cs="Arial"/>
                <w:sz w:val="18"/>
                <w:szCs w:val="18"/>
              </w:rPr>
              <w:t xml:space="preserve"> </w:t>
            </w:r>
            <w:r w:rsidRPr="00C0246B">
              <w:rPr>
                <w:rFonts w:ascii="Arial" w:hAnsi="Arial" w:cs="Arial"/>
                <w:sz w:val="18"/>
                <w:szCs w:val="18"/>
              </w:rPr>
              <w:t>(8.3%)</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26.3%</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73.7%</w:t>
            </w:r>
          </w:p>
        </w:tc>
      </w:tr>
      <w:tr w:rsidR="003A0DBE" w:rsidRPr="008B58A5" w:rsidTr="00C0246B">
        <w:tc>
          <w:tcPr>
            <w:tcW w:w="2411" w:type="dxa"/>
            <w:shd w:val="clear" w:color="auto" w:fill="8DB3E2" w:themeFill="text2" w:themeFillTint="66"/>
            <w:vAlign w:val="bottom"/>
          </w:tcPr>
          <w:p w:rsidR="003A0DBE" w:rsidRPr="00C0246B" w:rsidRDefault="003A0DBE" w:rsidP="00C0246B">
            <w:pPr>
              <w:rPr>
                <w:rFonts w:ascii="Arial" w:hAnsi="Arial" w:cs="Arial"/>
                <w:color w:val="000000"/>
                <w:sz w:val="18"/>
                <w:szCs w:val="18"/>
              </w:rPr>
            </w:pPr>
            <w:r w:rsidRPr="00C0246B">
              <w:rPr>
                <w:rFonts w:ascii="Arial" w:hAnsi="Arial" w:cs="Arial"/>
                <w:color w:val="000000"/>
                <w:sz w:val="18"/>
                <w:szCs w:val="18"/>
              </w:rPr>
              <w:t>Total persons</w:t>
            </w:r>
          </w:p>
        </w:tc>
        <w:tc>
          <w:tcPr>
            <w:tcW w:w="1842" w:type="dxa"/>
            <w:shd w:val="clear" w:color="auto" w:fill="C6D9F1" w:themeFill="text2" w:themeFillTint="33"/>
            <w:vAlign w:val="center"/>
          </w:tcPr>
          <w:p w:rsidR="003A0DBE" w:rsidRPr="00C0246B" w:rsidRDefault="003A0DBE" w:rsidP="00395DA2">
            <w:pPr>
              <w:jc w:val="right"/>
              <w:rPr>
                <w:rFonts w:ascii="Arial" w:hAnsi="Arial" w:cs="Arial"/>
                <w:sz w:val="18"/>
                <w:szCs w:val="18"/>
              </w:rPr>
            </w:pPr>
            <w:r w:rsidRPr="00C0246B">
              <w:rPr>
                <w:rFonts w:ascii="Arial" w:hAnsi="Arial" w:cs="Arial"/>
                <w:sz w:val="18"/>
                <w:szCs w:val="18"/>
              </w:rPr>
              <w:t>205,759</w:t>
            </w:r>
            <w:r w:rsidR="00D062C6" w:rsidRPr="00C0246B">
              <w:rPr>
                <w:rFonts w:ascii="Arial" w:hAnsi="Arial" w:cs="Arial"/>
                <w:sz w:val="18"/>
                <w:szCs w:val="18"/>
              </w:rPr>
              <w:t xml:space="preserve"> </w:t>
            </w:r>
            <w:r w:rsidRPr="00C0246B">
              <w:rPr>
                <w:rFonts w:ascii="Arial" w:hAnsi="Arial" w:cs="Arial"/>
                <w:sz w:val="18"/>
                <w:szCs w:val="18"/>
              </w:rPr>
              <w:t>(100.0%)</w:t>
            </w:r>
          </w:p>
        </w:tc>
        <w:tc>
          <w:tcPr>
            <w:tcW w:w="94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51.6%</w:t>
            </w:r>
          </w:p>
        </w:tc>
        <w:tc>
          <w:tcPr>
            <w:tcW w:w="1181"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48.4%</w:t>
            </w:r>
          </w:p>
        </w:tc>
        <w:tc>
          <w:tcPr>
            <w:tcW w:w="1843" w:type="dxa"/>
            <w:shd w:val="clear" w:color="auto" w:fill="C6D9F1" w:themeFill="text2" w:themeFillTint="33"/>
          </w:tcPr>
          <w:p w:rsidR="003A0DBE" w:rsidRPr="00C0246B" w:rsidRDefault="003A0DBE" w:rsidP="00395DA2">
            <w:pPr>
              <w:jc w:val="right"/>
              <w:rPr>
                <w:rFonts w:ascii="Arial" w:hAnsi="Arial" w:cs="Arial"/>
                <w:sz w:val="18"/>
                <w:szCs w:val="18"/>
              </w:rPr>
            </w:pPr>
            <w:r w:rsidRPr="00C0246B">
              <w:rPr>
                <w:rFonts w:ascii="Arial" w:hAnsi="Arial" w:cs="Arial"/>
                <w:sz w:val="18"/>
                <w:szCs w:val="18"/>
              </w:rPr>
              <w:t>183,244</w:t>
            </w:r>
            <w:r w:rsidR="00D062C6" w:rsidRPr="00C0246B">
              <w:rPr>
                <w:rFonts w:ascii="Arial" w:hAnsi="Arial" w:cs="Arial"/>
                <w:sz w:val="18"/>
                <w:szCs w:val="18"/>
              </w:rPr>
              <w:t xml:space="preserve"> </w:t>
            </w:r>
            <w:r w:rsidRPr="00C0246B">
              <w:rPr>
                <w:rFonts w:ascii="Arial" w:hAnsi="Arial" w:cs="Arial"/>
                <w:sz w:val="18"/>
                <w:szCs w:val="18"/>
              </w:rPr>
              <w:t>(100.0%)</w:t>
            </w:r>
          </w:p>
        </w:tc>
        <w:tc>
          <w:tcPr>
            <w:tcW w:w="993"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52.7%</w:t>
            </w:r>
          </w:p>
        </w:tc>
        <w:tc>
          <w:tcPr>
            <w:tcW w:w="127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47.3%</w:t>
            </w:r>
          </w:p>
        </w:tc>
      </w:tr>
    </w:tbl>
    <w:p w:rsidR="00233455" w:rsidRDefault="00233455"/>
    <w:p w:rsidR="003A0DBE" w:rsidRPr="00222667" w:rsidRDefault="003A0DBE" w:rsidP="00222667">
      <w:pPr>
        <w:pStyle w:val="ListParagraph"/>
        <w:numPr>
          <w:ilvl w:val="0"/>
          <w:numId w:val="5"/>
        </w:numPr>
        <w:outlineLvl w:val="0"/>
        <w:rPr>
          <w:rFonts w:ascii="Arial" w:hAnsi="Arial" w:cs="Arial"/>
          <w:b/>
          <w:bCs/>
          <w:color w:val="4181C0"/>
          <w:sz w:val="18"/>
          <w:szCs w:val="18"/>
        </w:rPr>
      </w:pPr>
      <w:r w:rsidRPr="005570D1">
        <w:rPr>
          <w:rFonts w:ascii="Arial" w:hAnsi="Arial" w:cs="Arial"/>
          <w:b/>
          <w:bCs/>
          <w:color w:val="4181C0"/>
          <w:sz w:val="18"/>
          <w:szCs w:val="18"/>
        </w:rPr>
        <w:t>In 2011</w:t>
      </w:r>
      <w:r>
        <w:rPr>
          <w:rFonts w:ascii="Arial" w:hAnsi="Arial" w:cs="Arial"/>
          <w:b/>
          <w:bCs/>
          <w:color w:val="4181C0"/>
          <w:sz w:val="18"/>
          <w:szCs w:val="18"/>
        </w:rPr>
        <w:t xml:space="preserve">, </w:t>
      </w:r>
      <w:r w:rsidRPr="005570D1">
        <w:rPr>
          <w:rFonts w:ascii="Arial" w:hAnsi="Arial" w:cs="Arial"/>
          <w:b/>
          <w:bCs/>
          <w:color w:val="4181C0"/>
          <w:sz w:val="18"/>
          <w:szCs w:val="18"/>
        </w:rPr>
        <w:t>Engineering and Related Technologies (</w:t>
      </w:r>
      <w:r>
        <w:rPr>
          <w:rFonts w:ascii="Arial" w:hAnsi="Arial" w:cs="Arial"/>
          <w:b/>
          <w:bCs/>
          <w:color w:val="4181C0"/>
          <w:sz w:val="18"/>
          <w:szCs w:val="18"/>
        </w:rPr>
        <w:t>15.9</w:t>
      </w:r>
      <w:r w:rsidRPr="005570D1">
        <w:rPr>
          <w:rFonts w:ascii="Arial" w:hAnsi="Arial" w:cs="Arial"/>
          <w:b/>
          <w:bCs/>
          <w:color w:val="4181C0"/>
          <w:sz w:val="18"/>
          <w:szCs w:val="18"/>
        </w:rPr>
        <w:t xml:space="preserve">%) </w:t>
      </w:r>
      <w:r>
        <w:rPr>
          <w:rFonts w:ascii="Arial" w:hAnsi="Arial" w:cs="Arial"/>
          <w:b/>
          <w:bCs/>
          <w:color w:val="4181C0"/>
          <w:sz w:val="18"/>
          <w:szCs w:val="18"/>
        </w:rPr>
        <w:t xml:space="preserve">and </w:t>
      </w:r>
      <w:r w:rsidRPr="005570D1">
        <w:rPr>
          <w:rFonts w:ascii="Arial" w:hAnsi="Arial" w:cs="Arial"/>
          <w:b/>
          <w:bCs/>
          <w:color w:val="4181C0"/>
          <w:sz w:val="18"/>
          <w:szCs w:val="18"/>
        </w:rPr>
        <w:t>Management and Commerce (</w:t>
      </w:r>
      <w:r>
        <w:rPr>
          <w:rFonts w:ascii="Arial" w:hAnsi="Arial" w:cs="Arial"/>
          <w:b/>
          <w:bCs/>
          <w:color w:val="4181C0"/>
          <w:sz w:val="18"/>
          <w:szCs w:val="18"/>
        </w:rPr>
        <w:t>14.3</w:t>
      </w:r>
      <w:r w:rsidRPr="005570D1">
        <w:rPr>
          <w:rFonts w:ascii="Arial" w:hAnsi="Arial" w:cs="Arial"/>
          <w:b/>
          <w:bCs/>
          <w:color w:val="4181C0"/>
          <w:sz w:val="18"/>
          <w:szCs w:val="18"/>
        </w:rPr>
        <w:t>%</w:t>
      </w:r>
      <w:r>
        <w:rPr>
          <w:rFonts w:ascii="Arial" w:hAnsi="Arial" w:cs="Arial"/>
          <w:b/>
          <w:bCs/>
          <w:color w:val="4181C0"/>
          <w:sz w:val="18"/>
          <w:szCs w:val="18"/>
        </w:rPr>
        <w:t>) were the</w:t>
      </w:r>
      <w:r w:rsidRPr="005570D1">
        <w:rPr>
          <w:rFonts w:ascii="Arial" w:hAnsi="Arial" w:cs="Arial"/>
          <w:b/>
          <w:bCs/>
          <w:color w:val="4181C0"/>
          <w:sz w:val="18"/>
          <w:szCs w:val="18"/>
        </w:rPr>
        <w:t xml:space="preserve"> two most common fields of study </w:t>
      </w:r>
      <w:r>
        <w:rPr>
          <w:rFonts w:ascii="Arial" w:hAnsi="Arial" w:cs="Arial"/>
          <w:b/>
          <w:bCs/>
          <w:color w:val="4181C0"/>
          <w:sz w:val="18"/>
          <w:szCs w:val="18"/>
        </w:rPr>
        <w:t xml:space="preserve">completed </w:t>
      </w:r>
      <w:r w:rsidR="00D062C6">
        <w:rPr>
          <w:rFonts w:ascii="Arial" w:hAnsi="Arial" w:cs="Arial"/>
          <w:b/>
          <w:bCs/>
          <w:color w:val="4181C0"/>
          <w:sz w:val="18"/>
          <w:szCs w:val="18"/>
        </w:rPr>
        <w:t xml:space="preserve">that were </w:t>
      </w:r>
      <w:r w:rsidRPr="005570D1">
        <w:rPr>
          <w:rFonts w:ascii="Arial" w:hAnsi="Arial" w:cs="Arial"/>
          <w:b/>
          <w:bCs/>
          <w:color w:val="4181C0"/>
          <w:sz w:val="18"/>
          <w:szCs w:val="18"/>
        </w:rPr>
        <w:t xml:space="preserve">reported by persons aged 15 years and over. These fields were </w:t>
      </w:r>
      <w:r w:rsidR="00D062C6">
        <w:rPr>
          <w:rFonts w:ascii="Arial" w:hAnsi="Arial" w:cs="Arial"/>
          <w:b/>
          <w:bCs/>
          <w:color w:val="4181C0"/>
          <w:sz w:val="18"/>
          <w:szCs w:val="18"/>
        </w:rPr>
        <w:t xml:space="preserve">also </w:t>
      </w:r>
      <w:r w:rsidRPr="005570D1">
        <w:rPr>
          <w:rFonts w:ascii="Arial" w:hAnsi="Arial" w:cs="Arial"/>
          <w:b/>
          <w:bCs/>
          <w:color w:val="4181C0"/>
          <w:sz w:val="18"/>
          <w:szCs w:val="18"/>
        </w:rPr>
        <w:t>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Between the 2011</w:t>
      </w:r>
      <w:r w:rsidRPr="005570D1">
        <w:rPr>
          <w:rFonts w:ascii="Arial" w:hAnsi="Arial" w:cs="Arial"/>
          <w:b/>
          <w:bCs/>
          <w:color w:val="4181C0"/>
          <w:sz w:val="18"/>
          <w:szCs w:val="18"/>
        </w:rPr>
        <w:t xml:space="preserve"> </w:t>
      </w:r>
      <w:r>
        <w:rPr>
          <w:rFonts w:ascii="Arial" w:hAnsi="Arial" w:cs="Arial"/>
          <w:b/>
          <w:bCs/>
          <w:color w:val="4181C0"/>
          <w:sz w:val="18"/>
          <w:szCs w:val="18"/>
        </w:rPr>
        <w:t>and 2006 Census</w:t>
      </w:r>
      <w:r w:rsidRPr="005570D1">
        <w:rPr>
          <w:rFonts w:ascii="Arial" w:hAnsi="Arial" w:cs="Arial"/>
          <w:b/>
          <w:bCs/>
          <w:color w:val="4181C0"/>
          <w:sz w:val="18"/>
          <w:szCs w:val="18"/>
        </w:rPr>
        <w:t xml:space="preserve"> there </w:t>
      </w:r>
      <w:r>
        <w:rPr>
          <w:rFonts w:ascii="Arial" w:hAnsi="Arial" w:cs="Arial"/>
          <w:b/>
          <w:bCs/>
          <w:color w:val="4181C0"/>
          <w:sz w:val="18"/>
          <w:szCs w:val="18"/>
        </w:rPr>
        <w:t xml:space="preserve">has been an increase in the number of persons who reported Engineering and Related Technologies (from 29,717 in 2006 to 32,643 in 2011) and Management and Commerce (from 23,530 in 2006 to 29,479 in 2011) as their field of study. </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sidRPr="005E52BE">
        <w:rPr>
          <w:rFonts w:ascii="Arial" w:hAnsi="Arial" w:cs="Arial"/>
          <w:b/>
          <w:bCs/>
          <w:color w:val="4181C0"/>
          <w:sz w:val="18"/>
          <w:szCs w:val="18"/>
        </w:rPr>
        <w:t>Of those who reported Management and Commerce as</w:t>
      </w:r>
      <w:r w:rsidR="00D062C6">
        <w:rPr>
          <w:rFonts w:ascii="Arial" w:hAnsi="Arial" w:cs="Arial"/>
          <w:b/>
          <w:bCs/>
          <w:color w:val="4181C0"/>
          <w:sz w:val="18"/>
          <w:szCs w:val="18"/>
        </w:rPr>
        <w:t xml:space="preserve"> their field of study, a higher proportion was</w:t>
      </w:r>
      <w:r w:rsidRPr="005E52BE">
        <w:rPr>
          <w:rFonts w:ascii="Arial" w:hAnsi="Arial" w:cs="Arial"/>
          <w:b/>
          <w:bCs/>
          <w:color w:val="4181C0"/>
          <w:sz w:val="18"/>
          <w:szCs w:val="18"/>
        </w:rPr>
        <w:t xml:space="preserve"> females (</w:t>
      </w:r>
      <w:r>
        <w:rPr>
          <w:rFonts w:ascii="Arial" w:hAnsi="Arial" w:cs="Arial"/>
          <w:b/>
          <w:bCs/>
          <w:color w:val="4181C0"/>
          <w:sz w:val="18"/>
          <w:szCs w:val="18"/>
        </w:rPr>
        <w:t>63.5</w:t>
      </w:r>
      <w:r w:rsidRPr="005E52BE">
        <w:rPr>
          <w:rFonts w:ascii="Arial" w:hAnsi="Arial" w:cs="Arial"/>
          <w:b/>
          <w:bCs/>
          <w:color w:val="4181C0"/>
          <w:sz w:val="18"/>
          <w:szCs w:val="18"/>
        </w:rPr>
        <w:t>%). Of those who reported Engineering and Related Technologies as their field of study there were a significantly higher proportion of males (</w:t>
      </w:r>
      <w:r>
        <w:rPr>
          <w:rFonts w:ascii="Arial" w:hAnsi="Arial" w:cs="Arial"/>
          <w:b/>
          <w:bCs/>
          <w:color w:val="4181C0"/>
          <w:sz w:val="18"/>
          <w:szCs w:val="18"/>
        </w:rPr>
        <w:t>93.9</w:t>
      </w:r>
      <w:r w:rsidRPr="005E52BE">
        <w:rPr>
          <w:rFonts w:ascii="Arial" w:hAnsi="Arial" w:cs="Arial"/>
          <w:b/>
          <w:bCs/>
          <w:color w:val="4181C0"/>
          <w:sz w:val="18"/>
          <w:szCs w:val="18"/>
        </w:rPr>
        <w:t>%).</w:t>
      </w:r>
    </w:p>
    <w:p w:rsidR="003A0DBE" w:rsidRPr="00222667" w:rsidRDefault="003A0DBE" w:rsidP="00222667">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Of those who reported Society and Culture as their field of study, 71.2% were females. A</w:t>
      </w:r>
      <w:r w:rsidR="00D062C6">
        <w:rPr>
          <w:rFonts w:ascii="Arial" w:hAnsi="Arial" w:cs="Arial"/>
          <w:b/>
          <w:bCs/>
          <w:color w:val="4181C0"/>
          <w:sz w:val="18"/>
          <w:szCs w:val="18"/>
        </w:rPr>
        <w:t>round</w:t>
      </w:r>
      <w:r>
        <w:rPr>
          <w:rFonts w:ascii="Arial" w:hAnsi="Arial" w:cs="Arial"/>
          <w:b/>
          <w:bCs/>
          <w:color w:val="4181C0"/>
          <w:sz w:val="18"/>
          <w:szCs w:val="18"/>
        </w:rPr>
        <w:t xml:space="preserve"> </w:t>
      </w:r>
      <w:r w:rsidRPr="005E52BE">
        <w:rPr>
          <w:rFonts w:ascii="Arial" w:hAnsi="Arial" w:cs="Arial"/>
          <w:b/>
          <w:bCs/>
          <w:color w:val="4181C0"/>
          <w:sz w:val="18"/>
          <w:szCs w:val="18"/>
        </w:rPr>
        <w:t xml:space="preserve">three quarters of those who reported </w:t>
      </w:r>
      <w:r w:rsidR="00D062C6" w:rsidRPr="005E52BE">
        <w:rPr>
          <w:rFonts w:ascii="Arial" w:hAnsi="Arial" w:cs="Arial"/>
          <w:b/>
          <w:bCs/>
          <w:color w:val="4181C0"/>
          <w:sz w:val="18"/>
          <w:szCs w:val="18"/>
        </w:rPr>
        <w:t>Health</w:t>
      </w:r>
      <w:r w:rsidRPr="005E52BE">
        <w:rPr>
          <w:rFonts w:ascii="Arial" w:hAnsi="Arial" w:cs="Arial"/>
          <w:b/>
          <w:bCs/>
          <w:color w:val="4181C0"/>
          <w:sz w:val="18"/>
          <w:szCs w:val="18"/>
        </w:rPr>
        <w:t xml:space="preserve"> and Education</w:t>
      </w:r>
      <w:r>
        <w:rPr>
          <w:rFonts w:ascii="Arial" w:hAnsi="Arial" w:cs="Arial"/>
          <w:b/>
          <w:bCs/>
          <w:color w:val="4181C0"/>
          <w:sz w:val="18"/>
          <w:szCs w:val="18"/>
        </w:rPr>
        <w:t xml:space="preserve"> </w:t>
      </w:r>
      <w:r w:rsidRPr="005E52BE">
        <w:rPr>
          <w:rFonts w:ascii="Arial" w:hAnsi="Arial" w:cs="Arial"/>
          <w:b/>
          <w:bCs/>
          <w:color w:val="4181C0"/>
          <w:sz w:val="18"/>
          <w:szCs w:val="18"/>
        </w:rPr>
        <w:t>as fields of study were females</w:t>
      </w:r>
      <w:r>
        <w:rPr>
          <w:rFonts w:ascii="Arial" w:hAnsi="Arial" w:cs="Arial"/>
          <w:b/>
          <w:bCs/>
          <w:color w:val="4181C0"/>
          <w:sz w:val="18"/>
          <w:szCs w:val="18"/>
        </w:rPr>
        <w:t xml:space="preserve"> (78.6% and 73.7% respectively)</w:t>
      </w:r>
      <w:r w:rsidRPr="005E52BE">
        <w:rPr>
          <w:rFonts w:ascii="Arial" w:hAnsi="Arial" w:cs="Arial"/>
          <w:b/>
          <w:bCs/>
          <w:color w:val="4181C0"/>
          <w:sz w:val="18"/>
          <w:szCs w:val="18"/>
        </w:rPr>
        <w:t xml:space="preserve">. </w:t>
      </w:r>
    </w:p>
    <w:p w:rsidR="00E640DC" w:rsidRPr="00222667" w:rsidRDefault="00E640DC" w:rsidP="00222667">
      <w:pPr>
        <w:pStyle w:val="ListParagraph"/>
        <w:numPr>
          <w:ilvl w:val="0"/>
          <w:numId w:val="5"/>
        </w:numPr>
        <w:outlineLvl w:val="0"/>
        <w:rPr>
          <w:rFonts w:ascii="Arial" w:hAnsi="Arial" w:cs="Arial"/>
          <w:b/>
          <w:bCs/>
          <w:color w:val="4181C0"/>
          <w:sz w:val="18"/>
          <w:szCs w:val="18"/>
        </w:rPr>
      </w:pPr>
      <w:r w:rsidRPr="00222667">
        <w:rPr>
          <w:rFonts w:ascii="Arial" w:hAnsi="Arial" w:cs="Arial"/>
          <w:b/>
          <w:bCs/>
          <w:color w:val="4181C0"/>
          <w:sz w:val="18"/>
          <w:szCs w:val="18"/>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3A0DBE" w:rsidP="00E640DC">
      <w:pPr>
        <w:spacing w:after="0"/>
        <w:jc w:val="center"/>
        <w:rPr>
          <w:rFonts w:ascii="Arial" w:hAnsi="Arial" w:cs="Arial"/>
          <w:b/>
          <w:sz w:val="32"/>
          <w:szCs w:val="32"/>
        </w:rPr>
      </w:pPr>
      <w:r>
        <w:rPr>
          <w:rFonts w:ascii="Arial" w:hAnsi="Arial" w:cs="Arial"/>
          <w:b/>
          <w:sz w:val="32"/>
          <w:szCs w:val="32"/>
        </w:rPr>
        <w:t>Tasmania</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D062C6">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D062C6">
        <w:rPr>
          <w:rFonts w:ascii="Arial" w:hAnsi="Arial" w:cs="Arial"/>
          <w:b/>
          <w:color w:val="000000" w:themeColor="text1"/>
          <w:sz w:val="28"/>
          <w:szCs w:val="28"/>
        </w:rPr>
        <w:t>ethods of T</w:t>
      </w:r>
      <w:r w:rsidR="002F75D9" w:rsidRPr="00577B41">
        <w:rPr>
          <w:rFonts w:ascii="Arial" w:hAnsi="Arial" w:cs="Arial"/>
          <w:b/>
          <w:color w:val="000000" w:themeColor="text1"/>
          <w:sz w:val="28"/>
          <w:szCs w:val="28"/>
        </w:rPr>
        <w:t xml:space="preserve">ravel to </w:t>
      </w:r>
      <w:r w:rsidR="00D062C6">
        <w:rPr>
          <w:rFonts w:ascii="Arial" w:hAnsi="Arial" w:cs="Arial"/>
          <w:b/>
          <w:color w:val="000000" w:themeColor="text1"/>
          <w:sz w:val="28"/>
          <w:szCs w:val="28"/>
        </w:rPr>
        <w:t>W</w:t>
      </w:r>
      <w:r w:rsidR="002F75D9" w:rsidRPr="00577B41">
        <w:rPr>
          <w:rFonts w:ascii="Arial" w:hAnsi="Arial" w:cs="Arial"/>
          <w:b/>
          <w:color w:val="000000" w:themeColor="text1"/>
          <w:sz w:val="28"/>
          <w:szCs w:val="28"/>
        </w:rPr>
        <w:t>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8788" w:type="dxa"/>
        <w:tblInd w:w="392" w:type="dxa"/>
        <w:tblLayout w:type="fixed"/>
        <w:tblLook w:val="04A0" w:firstRow="1" w:lastRow="0" w:firstColumn="1" w:lastColumn="0" w:noHBand="0" w:noVBand="1"/>
      </w:tblPr>
      <w:tblGrid>
        <w:gridCol w:w="2693"/>
        <w:gridCol w:w="3260"/>
        <w:gridCol w:w="2835"/>
      </w:tblGrid>
      <w:tr w:rsidR="002A47EB" w:rsidRPr="008B58A5" w:rsidTr="00DA6AB4">
        <w:tc>
          <w:tcPr>
            <w:tcW w:w="2693"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260"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2835"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DA6AB4">
        <w:tc>
          <w:tcPr>
            <w:tcW w:w="2693"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260"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Total Persons</w:t>
            </w:r>
          </w:p>
        </w:tc>
        <w:tc>
          <w:tcPr>
            <w:tcW w:w="2835" w:type="dxa"/>
            <w:shd w:val="clear" w:color="auto" w:fill="8DB3E2" w:themeFill="text2" w:themeFillTint="66"/>
            <w:vAlign w:val="center"/>
          </w:tcPr>
          <w:p w:rsidR="002A47EB" w:rsidRPr="002E42CC" w:rsidRDefault="002A47EB" w:rsidP="00C0246B">
            <w:pPr>
              <w:jc w:val="right"/>
              <w:rPr>
                <w:rFonts w:ascii="Arial" w:hAnsi="Arial" w:cs="Arial"/>
                <w:b/>
              </w:rPr>
            </w:pPr>
            <w:r>
              <w:rPr>
                <w:rFonts w:ascii="Arial" w:hAnsi="Arial" w:cs="Arial"/>
                <w:b/>
              </w:rPr>
              <w:t>Total Persons</w:t>
            </w:r>
          </w:p>
        </w:tc>
      </w:tr>
      <w:tr w:rsidR="003A0DBE" w:rsidRPr="008B58A5" w:rsidTr="00DA6AB4">
        <w:tc>
          <w:tcPr>
            <w:tcW w:w="2693"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Car, as driver</w:t>
            </w:r>
          </w:p>
        </w:tc>
        <w:tc>
          <w:tcPr>
            <w:tcW w:w="3260"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137,140</w:t>
            </w:r>
            <w:r w:rsidR="00D062C6" w:rsidRPr="00C0246B">
              <w:rPr>
                <w:rFonts w:ascii="Arial" w:hAnsi="Arial" w:cs="Arial"/>
                <w:sz w:val="18"/>
                <w:szCs w:val="18"/>
              </w:rPr>
              <w:t xml:space="preserve"> </w:t>
            </w:r>
            <w:r w:rsidRPr="00C0246B">
              <w:rPr>
                <w:rFonts w:ascii="Arial" w:hAnsi="Arial" w:cs="Arial"/>
                <w:sz w:val="18"/>
                <w:szCs w:val="18"/>
              </w:rPr>
              <w:t>(63.1%)</w:t>
            </w:r>
          </w:p>
        </w:tc>
        <w:tc>
          <w:tcPr>
            <w:tcW w:w="283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125,487</w:t>
            </w:r>
            <w:r w:rsidR="00D062C6" w:rsidRPr="00C0246B">
              <w:rPr>
                <w:rFonts w:ascii="Arial" w:hAnsi="Arial" w:cs="Arial"/>
                <w:sz w:val="18"/>
                <w:szCs w:val="18"/>
              </w:rPr>
              <w:t xml:space="preserve"> </w:t>
            </w:r>
            <w:r w:rsidRPr="00C0246B">
              <w:rPr>
                <w:rFonts w:ascii="Arial" w:hAnsi="Arial" w:cs="Arial"/>
                <w:sz w:val="18"/>
                <w:szCs w:val="18"/>
              </w:rPr>
              <w:t>(61.3%)</w:t>
            </w:r>
          </w:p>
        </w:tc>
      </w:tr>
      <w:tr w:rsidR="003A0DBE" w:rsidRPr="008B58A5" w:rsidTr="00DA6AB4">
        <w:tc>
          <w:tcPr>
            <w:tcW w:w="2693"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Car, as passenger</w:t>
            </w:r>
          </w:p>
        </w:tc>
        <w:tc>
          <w:tcPr>
            <w:tcW w:w="3260"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14,797</w:t>
            </w:r>
            <w:r w:rsidR="00D062C6" w:rsidRPr="00C0246B">
              <w:rPr>
                <w:rFonts w:ascii="Arial" w:hAnsi="Arial" w:cs="Arial"/>
                <w:sz w:val="18"/>
                <w:szCs w:val="18"/>
              </w:rPr>
              <w:t xml:space="preserve"> </w:t>
            </w:r>
            <w:r w:rsidRPr="00C0246B">
              <w:rPr>
                <w:rFonts w:ascii="Arial" w:hAnsi="Arial" w:cs="Arial"/>
                <w:sz w:val="18"/>
                <w:szCs w:val="18"/>
              </w:rPr>
              <w:t>(6.8%)</w:t>
            </w:r>
          </w:p>
        </w:tc>
        <w:tc>
          <w:tcPr>
            <w:tcW w:w="283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14,503</w:t>
            </w:r>
            <w:r w:rsidR="00D062C6" w:rsidRPr="00C0246B">
              <w:rPr>
                <w:rFonts w:ascii="Arial" w:hAnsi="Arial" w:cs="Arial"/>
                <w:sz w:val="18"/>
                <w:szCs w:val="18"/>
              </w:rPr>
              <w:t xml:space="preserve"> </w:t>
            </w:r>
            <w:r w:rsidRPr="00C0246B">
              <w:rPr>
                <w:rFonts w:ascii="Arial" w:hAnsi="Arial" w:cs="Arial"/>
                <w:sz w:val="18"/>
                <w:szCs w:val="18"/>
              </w:rPr>
              <w:t>(7.1%)</w:t>
            </w:r>
          </w:p>
        </w:tc>
      </w:tr>
      <w:tr w:rsidR="003A0DBE" w:rsidRPr="008B58A5" w:rsidTr="00DA6AB4">
        <w:tc>
          <w:tcPr>
            <w:tcW w:w="2693"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Walked only</w:t>
            </w:r>
          </w:p>
        </w:tc>
        <w:tc>
          <w:tcPr>
            <w:tcW w:w="3260"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10,851</w:t>
            </w:r>
            <w:r w:rsidR="00D062C6" w:rsidRPr="00C0246B">
              <w:rPr>
                <w:rFonts w:ascii="Arial" w:hAnsi="Arial" w:cs="Arial"/>
                <w:sz w:val="18"/>
                <w:szCs w:val="18"/>
              </w:rPr>
              <w:t xml:space="preserve"> </w:t>
            </w:r>
            <w:r w:rsidRPr="00C0246B">
              <w:rPr>
                <w:rFonts w:ascii="Arial" w:hAnsi="Arial" w:cs="Arial"/>
                <w:sz w:val="18"/>
                <w:szCs w:val="18"/>
              </w:rPr>
              <w:t>(5.0%)</w:t>
            </w:r>
          </w:p>
        </w:tc>
        <w:tc>
          <w:tcPr>
            <w:tcW w:w="283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11,693</w:t>
            </w:r>
            <w:r w:rsidR="00D062C6" w:rsidRPr="00C0246B">
              <w:rPr>
                <w:rFonts w:ascii="Arial" w:hAnsi="Arial" w:cs="Arial"/>
                <w:sz w:val="18"/>
                <w:szCs w:val="18"/>
              </w:rPr>
              <w:t xml:space="preserve"> </w:t>
            </w:r>
            <w:r w:rsidRPr="00C0246B">
              <w:rPr>
                <w:rFonts w:ascii="Arial" w:hAnsi="Arial" w:cs="Arial"/>
                <w:sz w:val="18"/>
                <w:szCs w:val="18"/>
              </w:rPr>
              <w:t>(5.7%)</w:t>
            </w:r>
          </w:p>
        </w:tc>
      </w:tr>
      <w:tr w:rsidR="003A0DBE" w:rsidRPr="008B58A5" w:rsidTr="00DA6AB4">
        <w:tc>
          <w:tcPr>
            <w:tcW w:w="2693"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Bus</w:t>
            </w:r>
          </w:p>
        </w:tc>
        <w:tc>
          <w:tcPr>
            <w:tcW w:w="3260"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5,506</w:t>
            </w:r>
            <w:r w:rsidR="00D062C6" w:rsidRPr="00C0246B">
              <w:rPr>
                <w:rFonts w:ascii="Arial" w:hAnsi="Arial" w:cs="Arial"/>
                <w:sz w:val="18"/>
                <w:szCs w:val="18"/>
              </w:rPr>
              <w:t xml:space="preserve"> </w:t>
            </w:r>
            <w:r w:rsidRPr="00C0246B">
              <w:rPr>
                <w:rFonts w:ascii="Arial" w:hAnsi="Arial" w:cs="Arial"/>
                <w:sz w:val="18"/>
                <w:szCs w:val="18"/>
              </w:rPr>
              <w:t>(2.5%)</w:t>
            </w:r>
          </w:p>
        </w:tc>
        <w:tc>
          <w:tcPr>
            <w:tcW w:w="283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5,023</w:t>
            </w:r>
            <w:r w:rsidR="00D062C6" w:rsidRPr="00C0246B">
              <w:rPr>
                <w:rFonts w:ascii="Arial" w:hAnsi="Arial" w:cs="Arial"/>
                <w:sz w:val="18"/>
                <w:szCs w:val="18"/>
              </w:rPr>
              <w:t xml:space="preserve"> </w:t>
            </w:r>
            <w:r w:rsidRPr="00C0246B">
              <w:rPr>
                <w:rFonts w:ascii="Arial" w:hAnsi="Arial" w:cs="Arial"/>
                <w:sz w:val="18"/>
                <w:szCs w:val="18"/>
              </w:rPr>
              <w:t>(2.5%)</w:t>
            </w:r>
          </w:p>
        </w:tc>
      </w:tr>
      <w:tr w:rsidR="003A0DBE" w:rsidRPr="008B58A5" w:rsidTr="00DA6AB4">
        <w:tc>
          <w:tcPr>
            <w:tcW w:w="2693" w:type="dxa"/>
            <w:shd w:val="clear" w:color="auto" w:fill="8DB3E2" w:themeFill="text2" w:themeFillTint="66"/>
            <w:vAlign w:val="bottom"/>
          </w:tcPr>
          <w:p w:rsidR="003A0DBE" w:rsidRPr="00C0246B" w:rsidRDefault="003A0DBE" w:rsidP="00C0246B">
            <w:pPr>
              <w:rPr>
                <w:rFonts w:ascii="Arial" w:hAnsi="Arial" w:cs="Arial"/>
                <w:sz w:val="18"/>
                <w:szCs w:val="18"/>
              </w:rPr>
            </w:pPr>
            <w:r w:rsidRPr="00C0246B">
              <w:rPr>
                <w:rFonts w:ascii="Arial" w:hAnsi="Arial" w:cs="Arial"/>
                <w:sz w:val="18"/>
                <w:szCs w:val="18"/>
              </w:rPr>
              <w:t>Truck</w:t>
            </w:r>
          </w:p>
        </w:tc>
        <w:tc>
          <w:tcPr>
            <w:tcW w:w="3260"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2,039</w:t>
            </w:r>
            <w:r w:rsidR="00D062C6" w:rsidRPr="00C0246B">
              <w:rPr>
                <w:rFonts w:ascii="Arial" w:hAnsi="Arial" w:cs="Arial"/>
                <w:sz w:val="18"/>
                <w:szCs w:val="18"/>
              </w:rPr>
              <w:t xml:space="preserve"> </w:t>
            </w:r>
            <w:r w:rsidRPr="00C0246B">
              <w:rPr>
                <w:rFonts w:ascii="Arial" w:hAnsi="Arial" w:cs="Arial"/>
                <w:sz w:val="18"/>
                <w:szCs w:val="18"/>
              </w:rPr>
              <w:t>(0.9%)</w:t>
            </w:r>
          </w:p>
        </w:tc>
        <w:tc>
          <w:tcPr>
            <w:tcW w:w="2835" w:type="dxa"/>
            <w:shd w:val="clear" w:color="auto" w:fill="C6D9F1" w:themeFill="text2" w:themeFillTint="33"/>
            <w:vAlign w:val="bottom"/>
          </w:tcPr>
          <w:p w:rsidR="003A0DBE" w:rsidRPr="00C0246B" w:rsidRDefault="003A0DBE" w:rsidP="00395DA2">
            <w:pPr>
              <w:jc w:val="right"/>
              <w:rPr>
                <w:rFonts w:ascii="Arial" w:hAnsi="Arial" w:cs="Arial"/>
                <w:sz w:val="18"/>
                <w:szCs w:val="18"/>
              </w:rPr>
            </w:pPr>
            <w:r w:rsidRPr="00C0246B">
              <w:rPr>
                <w:rFonts w:ascii="Arial" w:hAnsi="Arial" w:cs="Arial"/>
                <w:sz w:val="18"/>
                <w:szCs w:val="18"/>
              </w:rPr>
              <w:t>2,574</w:t>
            </w:r>
            <w:r w:rsidR="00D062C6" w:rsidRPr="00C0246B">
              <w:rPr>
                <w:rFonts w:ascii="Arial" w:hAnsi="Arial" w:cs="Arial"/>
                <w:sz w:val="18"/>
                <w:szCs w:val="18"/>
              </w:rPr>
              <w:t xml:space="preserve"> </w:t>
            </w:r>
            <w:r w:rsidRPr="00C0246B">
              <w:rPr>
                <w:rFonts w:ascii="Arial" w:hAnsi="Arial" w:cs="Arial"/>
                <w:sz w:val="18"/>
                <w:szCs w:val="18"/>
              </w:rPr>
              <w:t>(1.3%)</w:t>
            </w:r>
          </w:p>
        </w:tc>
      </w:tr>
      <w:tr w:rsidR="003A0DBE" w:rsidRPr="008B58A5" w:rsidTr="00DA6AB4">
        <w:tc>
          <w:tcPr>
            <w:tcW w:w="2693" w:type="dxa"/>
            <w:shd w:val="clear" w:color="auto" w:fill="8DB3E2" w:themeFill="text2" w:themeFillTint="66"/>
            <w:vAlign w:val="bottom"/>
          </w:tcPr>
          <w:p w:rsidR="003A0DBE" w:rsidRPr="00C0246B" w:rsidRDefault="003A0DBE" w:rsidP="00C0246B">
            <w:pPr>
              <w:rPr>
                <w:rFonts w:ascii="Arial" w:hAnsi="Arial" w:cs="Arial"/>
                <w:color w:val="000000" w:themeColor="text1"/>
                <w:sz w:val="18"/>
                <w:szCs w:val="18"/>
              </w:rPr>
            </w:pPr>
            <w:r w:rsidRPr="00C0246B">
              <w:rPr>
                <w:rFonts w:ascii="Arial" w:hAnsi="Arial" w:cs="Arial"/>
                <w:color w:val="000000" w:themeColor="text1"/>
                <w:sz w:val="18"/>
                <w:szCs w:val="18"/>
              </w:rPr>
              <w:t>Total persons</w:t>
            </w:r>
          </w:p>
        </w:tc>
        <w:tc>
          <w:tcPr>
            <w:tcW w:w="3260" w:type="dxa"/>
            <w:shd w:val="clear" w:color="auto" w:fill="C6D9F1" w:themeFill="text2" w:themeFillTint="33"/>
            <w:vAlign w:val="center"/>
          </w:tcPr>
          <w:p w:rsidR="003A0DBE" w:rsidRPr="00C0246B" w:rsidRDefault="003A0DBE" w:rsidP="00395DA2">
            <w:pPr>
              <w:jc w:val="right"/>
              <w:rPr>
                <w:rFonts w:ascii="Arial" w:hAnsi="Arial" w:cs="Arial"/>
                <w:sz w:val="18"/>
                <w:szCs w:val="18"/>
              </w:rPr>
            </w:pPr>
            <w:r w:rsidRPr="00C0246B">
              <w:rPr>
                <w:rFonts w:ascii="Arial" w:hAnsi="Arial" w:cs="Arial"/>
                <w:sz w:val="18"/>
                <w:szCs w:val="18"/>
              </w:rPr>
              <w:t>217,295</w:t>
            </w:r>
            <w:r w:rsidR="00D062C6" w:rsidRPr="00C0246B">
              <w:rPr>
                <w:rFonts w:ascii="Arial" w:hAnsi="Arial" w:cs="Arial"/>
                <w:sz w:val="18"/>
                <w:szCs w:val="18"/>
              </w:rPr>
              <w:t xml:space="preserve"> </w:t>
            </w:r>
            <w:r w:rsidRPr="00C0246B">
              <w:rPr>
                <w:rFonts w:ascii="Arial" w:hAnsi="Arial" w:cs="Arial"/>
                <w:sz w:val="18"/>
                <w:szCs w:val="18"/>
              </w:rPr>
              <w:t>(100.0%)</w:t>
            </w:r>
          </w:p>
        </w:tc>
        <w:tc>
          <w:tcPr>
            <w:tcW w:w="2835" w:type="dxa"/>
            <w:shd w:val="clear" w:color="auto" w:fill="C6D9F1" w:themeFill="text2" w:themeFillTint="33"/>
          </w:tcPr>
          <w:p w:rsidR="003A0DBE" w:rsidRPr="00C0246B" w:rsidRDefault="003A0DBE" w:rsidP="00395DA2">
            <w:pPr>
              <w:jc w:val="right"/>
              <w:rPr>
                <w:rFonts w:ascii="Arial" w:hAnsi="Arial" w:cs="Arial"/>
                <w:sz w:val="18"/>
                <w:szCs w:val="18"/>
              </w:rPr>
            </w:pPr>
            <w:r w:rsidRPr="00C0246B">
              <w:rPr>
                <w:rFonts w:ascii="Arial" w:hAnsi="Arial" w:cs="Arial"/>
                <w:sz w:val="18"/>
                <w:szCs w:val="18"/>
              </w:rPr>
              <w:t>204,739</w:t>
            </w:r>
            <w:r w:rsidR="00D062C6" w:rsidRPr="00C0246B">
              <w:rPr>
                <w:rFonts w:ascii="Arial" w:hAnsi="Arial" w:cs="Arial"/>
                <w:sz w:val="18"/>
                <w:szCs w:val="18"/>
              </w:rPr>
              <w:t xml:space="preserve"> </w:t>
            </w:r>
            <w:r w:rsidRPr="00C0246B">
              <w:rPr>
                <w:rFonts w:ascii="Arial" w:hAnsi="Arial" w:cs="Arial"/>
                <w:sz w:val="18"/>
                <w:szCs w:val="18"/>
              </w:rPr>
              <w:t>(100.0%)</w:t>
            </w:r>
          </w:p>
        </w:tc>
      </w:tr>
    </w:tbl>
    <w:p w:rsidR="00EC5711" w:rsidRDefault="00EC5711" w:rsidP="00EC5711">
      <w:pPr>
        <w:rPr>
          <w:rFonts w:ascii="Arial" w:eastAsia="Times New Roman" w:hAnsi="Arial" w:cs="Arial"/>
          <w:color w:val="000000"/>
          <w:lang w:eastAsia="en-AU"/>
        </w:rPr>
      </w:pPr>
    </w:p>
    <w:p w:rsidR="003A0DBE" w:rsidRPr="00D062C6" w:rsidRDefault="003A0DBE" w:rsidP="00D062C6">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Transport by car continues to be the most commonly reported method of travel to work. </w:t>
      </w:r>
      <w:r w:rsidR="00D062B7">
        <w:rPr>
          <w:rFonts w:ascii="Arial" w:hAnsi="Arial" w:cs="Arial"/>
          <w:b/>
          <w:bCs/>
          <w:color w:val="4181C0"/>
          <w:sz w:val="18"/>
          <w:szCs w:val="18"/>
        </w:rPr>
        <w:t xml:space="preserve">Over </w:t>
      </w:r>
      <w:r>
        <w:rPr>
          <w:rFonts w:ascii="Arial" w:hAnsi="Arial" w:cs="Arial"/>
          <w:b/>
          <w:bCs/>
          <w:color w:val="4181C0"/>
          <w:sz w:val="18"/>
          <w:szCs w:val="18"/>
        </w:rPr>
        <w:t>two third</w:t>
      </w:r>
      <w:r w:rsidR="00D062B7">
        <w:rPr>
          <w:rFonts w:ascii="Arial" w:hAnsi="Arial" w:cs="Arial"/>
          <w:b/>
          <w:bCs/>
          <w:color w:val="4181C0"/>
          <w:sz w:val="18"/>
          <w:szCs w:val="18"/>
        </w:rPr>
        <w:t>s</w:t>
      </w:r>
      <w:r>
        <w:rPr>
          <w:rFonts w:ascii="Arial" w:hAnsi="Arial" w:cs="Arial"/>
          <w:b/>
          <w:bCs/>
          <w:color w:val="4181C0"/>
          <w:sz w:val="18"/>
          <w:szCs w:val="18"/>
        </w:rPr>
        <w:t xml:space="preserve"> (69.9%) of employed persons reported </w:t>
      </w:r>
      <w:r w:rsidR="00D062C6">
        <w:rPr>
          <w:rFonts w:ascii="Arial" w:hAnsi="Arial" w:cs="Arial"/>
          <w:b/>
          <w:bCs/>
          <w:color w:val="4181C0"/>
          <w:sz w:val="18"/>
          <w:szCs w:val="18"/>
        </w:rPr>
        <w:t>that they travelled to work by c</w:t>
      </w:r>
      <w:r>
        <w:rPr>
          <w:rFonts w:ascii="Arial" w:hAnsi="Arial" w:cs="Arial"/>
          <w:b/>
          <w:bCs/>
          <w:color w:val="4181C0"/>
          <w:sz w:val="18"/>
          <w:szCs w:val="18"/>
        </w:rPr>
        <w:t>ar (either as driver or a passenger) on 9 August 2011.</w:t>
      </w:r>
    </w:p>
    <w:p w:rsidR="003A0DBE" w:rsidRPr="00D062C6" w:rsidRDefault="003A0DBE" w:rsidP="00D062C6">
      <w:pPr>
        <w:pStyle w:val="ListParagraph"/>
        <w:numPr>
          <w:ilvl w:val="0"/>
          <w:numId w:val="5"/>
        </w:numPr>
        <w:outlineLvl w:val="0"/>
        <w:rPr>
          <w:rFonts w:ascii="Arial" w:hAnsi="Arial" w:cs="Arial"/>
          <w:b/>
          <w:bCs/>
          <w:color w:val="4181C0"/>
          <w:sz w:val="18"/>
          <w:szCs w:val="18"/>
        </w:rPr>
      </w:pPr>
      <w:r w:rsidRPr="003D734F">
        <w:rPr>
          <w:rFonts w:ascii="Arial" w:hAnsi="Arial" w:cs="Arial"/>
          <w:b/>
          <w:bCs/>
          <w:color w:val="4181C0"/>
          <w:sz w:val="18"/>
          <w:szCs w:val="18"/>
        </w:rPr>
        <w:t xml:space="preserve">The </w:t>
      </w:r>
      <w:r>
        <w:rPr>
          <w:rFonts w:ascii="Arial" w:hAnsi="Arial" w:cs="Arial"/>
          <w:b/>
          <w:bCs/>
          <w:color w:val="4181C0"/>
          <w:sz w:val="18"/>
          <w:szCs w:val="18"/>
        </w:rPr>
        <w:t xml:space="preserve">number </w:t>
      </w:r>
      <w:r w:rsidRPr="003D734F">
        <w:rPr>
          <w:rFonts w:ascii="Arial" w:hAnsi="Arial" w:cs="Arial"/>
          <w:b/>
          <w:bCs/>
          <w:color w:val="4181C0"/>
          <w:sz w:val="18"/>
          <w:szCs w:val="18"/>
        </w:rPr>
        <w:t xml:space="preserve">of </w:t>
      </w:r>
      <w:r w:rsidR="00D062B7">
        <w:rPr>
          <w:rFonts w:ascii="Arial" w:hAnsi="Arial" w:cs="Arial"/>
          <w:b/>
          <w:bCs/>
          <w:color w:val="4181C0"/>
          <w:sz w:val="18"/>
          <w:szCs w:val="18"/>
        </w:rPr>
        <w:t xml:space="preserve">persons </w:t>
      </w:r>
      <w:r w:rsidRPr="003D734F">
        <w:rPr>
          <w:rFonts w:ascii="Arial" w:hAnsi="Arial" w:cs="Arial"/>
          <w:b/>
          <w:bCs/>
          <w:color w:val="4181C0"/>
          <w:sz w:val="18"/>
          <w:szCs w:val="18"/>
        </w:rPr>
        <w:t xml:space="preserve">who walked to work has </w:t>
      </w:r>
      <w:r>
        <w:rPr>
          <w:rFonts w:ascii="Arial" w:hAnsi="Arial" w:cs="Arial"/>
          <w:b/>
          <w:bCs/>
          <w:color w:val="4181C0"/>
          <w:sz w:val="18"/>
          <w:szCs w:val="18"/>
        </w:rPr>
        <w:t>declined fr</w:t>
      </w:r>
      <w:r w:rsidRPr="003D734F">
        <w:rPr>
          <w:rFonts w:ascii="Arial" w:hAnsi="Arial" w:cs="Arial"/>
          <w:b/>
          <w:bCs/>
          <w:color w:val="4181C0"/>
          <w:sz w:val="18"/>
          <w:szCs w:val="18"/>
        </w:rPr>
        <w:t xml:space="preserve">om </w:t>
      </w:r>
      <w:r>
        <w:rPr>
          <w:rFonts w:ascii="Arial" w:hAnsi="Arial" w:cs="Arial"/>
          <w:b/>
          <w:bCs/>
          <w:color w:val="4181C0"/>
          <w:sz w:val="18"/>
          <w:szCs w:val="18"/>
        </w:rPr>
        <w:t>11,693</w:t>
      </w:r>
      <w:r w:rsidRPr="003D734F">
        <w:rPr>
          <w:rFonts w:ascii="Arial" w:hAnsi="Arial" w:cs="Arial"/>
          <w:b/>
          <w:bCs/>
          <w:color w:val="4181C0"/>
          <w:sz w:val="18"/>
          <w:szCs w:val="18"/>
        </w:rPr>
        <w:t xml:space="preserve"> </w:t>
      </w:r>
      <w:r>
        <w:rPr>
          <w:rFonts w:ascii="Arial" w:hAnsi="Arial" w:cs="Arial"/>
          <w:b/>
          <w:bCs/>
          <w:color w:val="4181C0"/>
          <w:sz w:val="18"/>
          <w:szCs w:val="18"/>
        </w:rPr>
        <w:t xml:space="preserve">(5.7%) </w:t>
      </w:r>
      <w:r w:rsidRPr="003D734F">
        <w:rPr>
          <w:rFonts w:ascii="Arial" w:hAnsi="Arial" w:cs="Arial"/>
          <w:b/>
          <w:bCs/>
          <w:color w:val="4181C0"/>
          <w:sz w:val="18"/>
          <w:szCs w:val="18"/>
        </w:rPr>
        <w:t xml:space="preserve">in 2006 to </w:t>
      </w:r>
      <w:r>
        <w:rPr>
          <w:rFonts w:ascii="Arial" w:hAnsi="Arial" w:cs="Arial"/>
          <w:b/>
          <w:bCs/>
          <w:color w:val="4181C0"/>
          <w:sz w:val="18"/>
          <w:szCs w:val="18"/>
        </w:rPr>
        <w:t>10,851</w:t>
      </w:r>
      <w:r w:rsidR="00D062B7">
        <w:rPr>
          <w:rFonts w:ascii="Arial" w:hAnsi="Arial" w:cs="Arial"/>
          <w:b/>
          <w:bCs/>
          <w:color w:val="4181C0"/>
          <w:sz w:val="18"/>
          <w:szCs w:val="18"/>
        </w:rPr>
        <w:t xml:space="preserve"> </w:t>
      </w:r>
      <w:r>
        <w:rPr>
          <w:rFonts w:ascii="Arial" w:hAnsi="Arial" w:cs="Arial"/>
          <w:b/>
          <w:bCs/>
          <w:color w:val="4181C0"/>
          <w:sz w:val="18"/>
          <w:szCs w:val="18"/>
        </w:rPr>
        <w:t>(5.0%) in 2011.</w:t>
      </w: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3A0DBE" w:rsidP="003A0DBE">
      <w:pPr>
        <w:spacing w:after="0"/>
        <w:jc w:val="center"/>
        <w:rPr>
          <w:rFonts w:ascii="Arial" w:hAnsi="Arial" w:cs="Arial"/>
          <w:b/>
          <w:sz w:val="32"/>
          <w:szCs w:val="32"/>
        </w:rPr>
      </w:pPr>
      <w:r>
        <w:rPr>
          <w:rFonts w:ascii="Arial" w:hAnsi="Arial" w:cs="Arial"/>
          <w:b/>
          <w:sz w:val="32"/>
          <w:szCs w:val="32"/>
        </w:rPr>
        <w:t>Tasmania</w:t>
      </w:r>
    </w:p>
    <w:p w:rsidR="00CE1624" w:rsidRPr="00BF1EC3" w:rsidRDefault="00CE1624" w:rsidP="00CE1624">
      <w:pPr>
        <w:spacing w:after="0"/>
        <w:jc w:val="center"/>
        <w:rPr>
          <w:rFonts w:ascii="Arial" w:hAnsi="Arial" w:cs="Arial"/>
          <w:b/>
          <w:sz w:val="28"/>
          <w:szCs w:val="28"/>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D062C6">
        <w:rPr>
          <w:rFonts w:ascii="Arial" w:eastAsia="Times New Roman" w:hAnsi="Arial" w:cs="Arial"/>
          <w:b/>
          <w:color w:val="000000"/>
          <w:sz w:val="28"/>
          <w:szCs w:val="28"/>
          <w:lang w:eastAsia="en-AU"/>
        </w:rPr>
        <w:t>Usual R</w:t>
      </w:r>
      <w:r w:rsidRPr="00577B41">
        <w:rPr>
          <w:rFonts w:ascii="Arial" w:eastAsia="Times New Roman" w:hAnsi="Arial" w:cs="Arial"/>
          <w:b/>
          <w:color w:val="000000"/>
          <w:sz w:val="28"/>
          <w:szCs w:val="28"/>
          <w:lang w:eastAsia="en-AU"/>
        </w:rPr>
        <w:t xml:space="preserve">esidence </w:t>
      </w:r>
      <w:r w:rsidR="00D062C6">
        <w:rPr>
          <w:rFonts w:ascii="Arial" w:eastAsia="Times New Roman" w:hAnsi="Arial" w:cs="Arial"/>
          <w:b/>
          <w:color w:val="000000"/>
          <w:sz w:val="28"/>
          <w:szCs w:val="28"/>
          <w:lang w:eastAsia="en-AU"/>
        </w:rPr>
        <w:t>one</w:t>
      </w:r>
      <w:r w:rsidRPr="00577B41">
        <w:rPr>
          <w:rFonts w:ascii="Arial" w:eastAsia="Times New Roman" w:hAnsi="Arial" w:cs="Arial"/>
          <w:b/>
          <w:color w:val="000000"/>
          <w:sz w:val="28"/>
          <w:szCs w:val="28"/>
          <w:lang w:eastAsia="en-AU"/>
        </w:rPr>
        <w:t xml:space="preserve"> year ago (all persons who moved, excluding persons aged under </w:t>
      </w:r>
      <w:r w:rsidR="00D062C6">
        <w:rPr>
          <w:rFonts w:ascii="Arial" w:eastAsia="Times New Roman" w:hAnsi="Arial" w:cs="Arial"/>
          <w:b/>
          <w:color w:val="000000"/>
          <w:sz w:val="28"/>
          <w:szCs w:val="28"/>
          <w:lang w:eastAsia="en-AU"/>
        </w:rPr>
        <w:t>one</w:t>
      </w:r>
      <w:r w:rsidRPr="00577B41">
        <w:rPr>
          <w:rFonts w:ascii="Arial" w:eastAsia="Times New Roman" w:hAnsi="Arial" w:cs="Arial"/>
          <w:b/>
          <w:color w:val="000000"/>
          <w:sz w:val="28"/>
          <w:szCs w:val="28"/>
          <w:lang w:eastAsia="en-AU"/>
        </w:rPr>
        <w:t xml:space="preserve"> year)</w:t>
      </w:r>
    </w:p>
    <w:tbl>
      <w:tblPr>
        <w:tblStyle w:val="TableGrid"/>
        <w:tblW w:w="8930" w:type="dxa"/>
        <w:tblInd w:w="250" w:type="dxa"/>
        <w:tblLook w:val="04A0" w:firstRow="1" w:lastRow="0" w:firstColumn="1" w:lastColumn="0" w:noHBand="0" w:noVBand="1"/>
      </w:tblPr>
      <w:tblGrid>
        <w:gridCol w:w="2693"/>
        <w:gridCol w:w="3261"/>
        <w:gridCol w:w="2976"/>
      </w:tblGrid>
      <w:tr w:rsidR="002A47EB" w:rsidTr="00DA6AB4">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DA6AB4">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DA6AB4">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3A0DBE" w:rsidTr="00DA6AB4">
        <w:trPr>
          <w:trHeight w:val="340"/>
        </w:trPr>
        <w:tc>
          <w:tcPr>
            <w:tcW w:w="2693" w:type="dxa"/>
            <w:shd w:val="clear" w:color="auto" w:fill="8DB3E2" w:themeFill="text2" w:themeFillTint="66"/>
            <w:vAlign w:val="bottom"/>
          </w:tcPr>
          <w:p w:rsidR="003A0DBE" w:rsidRPr="00DA6AB4" w:rsidRDefault="00D062C6" w:rsidP="00DA6AB4">
            <w:pPr>
              <w:spacing w:before="60"/>
              <w:rPr>
                <w:rFonts w:ascii="Arial" w:eastAsia="Times New Roman" w:hAnsi="Arial" w:cs="Arial"/>
                <w:color w:val="000000"/>
                <w:sz w:val="18"/>
                <w:szCs w:val="18"/>
                <w:lang w:eastAsia="en-AU"/>
              </w:rPr>
            </w:pPr>
            <w:r w:rsidRPr="00DA6AB4">
              <w:rPr>
                <w:rFonts w:ascii="Arial" w:eastAsia="Times New Roman" w:hAnsi="Arial" w:cs="Arial"/>
                <w:color w:val="000000"/>
                <w:sz w:val="18"/>
                <w:szCs w:val="18"/>
                <w:lang w:eastAsia="en-AU"/>
              </w:rPr>
              <w:t>Within State</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53,427 (78.7%)</w:t>
            </w:r>
          </w:p>
        </w:tc>
        <w:tc>
          <w:tcPr>
            <w:tcW w:w="2976" w:type="dxa"/>
            <w:shd w:val="clear" w:color="auto" w:fill="C6D9F1" w:themeFill="text2" w:themeFillTint="33"/>
            <w:vAlign w:val="bottom"/>
          </w:tcPr>
          <w:p w:rsidR="003A0DBE" w:rsidRPr="00DA6AB4" w:rsidRDefault="003A0DBE" w:rsidP="00DA6AB4">
            <w:pPr>
              <w:spacing w:line="360" w:lineRule="auto"/>
              <w:jc w:val="right"/>
              <w:rPr>
                <w:rFonts w:ascii="Arial" w:hAnsi="Arial" w:cs="Arial"/>
                <w:sz w:val="18"/>
                <w:szCs w:val="18"/>
              </w:rPr>
            </w:pPr>
            <w:r w:rsidRPr="00DA6AB4">
              <w:rPr>
                <w:rFonts w:ascii="Arial" w:hAnsi="Arial" w:cs="Arial"/>
                <w:sz w:val="18"/>
                <w:szCs w:val="18"/>
              </w:rPr>
              <w:t>55,076 (79.5%)</w:t>
            </w:r>
          </w:p>
        </w:tc>
      </w:tr>
      <w:tr w:rsidR="003A0DBE" w:rsidTr="00DA6AB4">
        <w:trPr>
          <w:trHeight w:val="340"/>
        </w:trPr>
        <w:tc>
          <w:tcPr>
            <w:tcW w:w="2693" w:type="dxa"/>
            <w:shd w:val="clear" w:color="auto" w:fill="8DB3E2" w:themeFill="text2" w:themeFillTint="66"/>
            <w:vAlign w:val="bottom"/>
          </w:tcPr>
          <w:p w:rsidR="003A0DBE" w:rsidRPr="00DA6AB4" w:rsidRDefault="009335E1" w:rsidP="00DA6AB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10,412 (15.3%)</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10,288 (14.8%)</w:t>
            </w:r>
          </w:p>
        </w:tc>
      </w:tr>
      <w:tr w:rsidR="003A0DBE" w:rsidTr="00DA6AB4">
        <w:trPr>
          <w:trHeight w:val="340"/>
        </w:trPr>
        <w:tc>
          <w:tcPr>
            <w:tcW w:w="2693" w:type="dxa"/>
            <w:shd w:val="clear" w:color="auto" w:fill="8DB3E2" w:themeFill="text2" w:themeFillTint="66"/>
            <w:vAlign w:val="bottom"/>
          </w:tcPr>
          <w:p w:rsidR="003A0DBE" w:rsidRPr="00DA6AB4" w:rsidRDefault="003A0DBE" w:rsidP="00DA6AB4">
            <w:pPr>
              <w:spacing w:before="60"/>
              <w:rPr>
                <w:rFonts w:ascii="Arial" w:eastAsia="Times New Roman" w:hAnsi="Arial" w:cs="Arial"/>
                <w:color w:val="000000"/>
                <w:sz w:val="18"/>
                <w:szCs w:val="18"/>
                <w:lang w:eastAsia="en-AU"/>
              </w:rPr>
            </w:pPr>
            <w:r w:rsidRPr="00DA6AB4">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3,368 (5.0%)</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3,190 (4.6%)</w:t>
            </w:r>
          </w:p>
        </w:tc>
      </w:tr>
      <w:tr w:rsidR="003A0DBE" w:rsidTr="00DA6AB4">
        <w:trPr>
          <w:trHeight w:val="340"/>
        </w:trPr>
        <w:tc>
          <w:tcPr>
            <w:tcW w:w="2693" w:type="dxa"/>
            <w:shd w:val="clear" w:color="auto" w:fill="8DB3E2" w:themeFill="text2" w:themeFillTint="66"/>
            <w:vAlign w:val="bottom"/>
          </w:tcPr>
          <w:p w:rsidR="003A0DBE" w:rsidRPr="00DA6AB4" w:rsidRDefault="003A0DBE" w:rsidP="00DA6AB4">
            <w:pPr>
              <w:spacing w:before="60"/>
              <w:rPr>
                <w:rFonts w:ascii="Arial" w:eastAsia="Times New Roman" w:hAnsi="Arial" w:cs="Arial"/>
                <w:color w:val="000000"/>
                <w:sz w:val="18"/>
                <w:szCs w:val="18"/>
                <w:lang w:eastAsia="en-AU"/>
              </w:rPr>
            </w:pPr>
            <w:r w:rsidRPr="00DA6AB4">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67,892 (100.0%)</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69,282 (100.0%)</w:t>
            </w:r>
          </w:p>
        </w:tc>
      </w:tr>
    </w:tbl>
    <w:p w:rsidR="006B4BFF" w:rsidRDefault="006B4BFF" w:rsidP="00EC5711">
      <w:pPr>
        <w:rPr>
          <w:rFonts w:ascii="Arial" w:hAnsi="Arial" w:cs="Arial"/>
          <w:b/>
        </w:rPr>
      </w:pPr>
    </w:p>
    <w:p w:rsidR="009335E1" w:rsidRPr="009335E1" w:rsidRDefault="009335E1" w:rsidP="009335E1">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Of the Tasmanian residents who moved the year prior to the 2011 Census, most </w:t>
      </w:r>
      <w:r w:rsidRPr="000D3BE0">
        <w:rPr>
          <w:rFonts w:ascii="Arial" w:hAnsi="Arial" w:cs="Arial"/>
          <w:b/>
          <w:bCs/>
          <w:color w:val="4181C0"/>
          <w:sz w:val="18"/>
          <w:szCs w:val="18"/>
        </w:rPr>
        <w:t xml:space="preserve">moved within the </w:t>
      </w:r>
      <w:r>
        <w:rPr>
          <w:rFonts w:ascii="Arial" w:hAnsi="Arial" w:cs="Arial"/>
          <w:b/>
          <w:bCs/>
          <w:color w:val="4181C0"/>
          <w:sz w:val="18"/>
          <w:szCs w:val="18"/>
        </w:rPr>
        <w:t>State</w:t>
      </w:r>
      <w:r w:rsidRPr="000D3BE0">
        <w:rPr>
          <w:rFonts w:ascii="Arial" w:hAnsi="Arial" w:cs="Arial"/>
          <w:b/>
          <w:bCs/>
          <w:color w:val="4181C0"/>
          <w:sz w:val="18"/>
          <w:szCs w:val="18"/>
        </w:rPr>
        <w:t xml:space="preserve"> </w:t>
      </w:r>
      <w:r w:rsidRPr="009335E1">
        <w:rPr>
          <w:rFonts w:ascii="Arial" w:hAnsi="Arial" w:cs="Arial"/>
          <w:b/>
          <w:bCs/>
          <w:color w:val="4181C0"/>
          <w:sz w:val="18"/>
          <w:szCs w:val="18"/>
        </w:rPr>
        <w:t xml:space="preserve">(78.7%). </w:t>
      </w:r>
    </w:p>
    <w:p w:rsidR="009335E1" w:rsidRPr="009335E1" w:rsidRDefault="009335E1" w:rsidP="00D062C6">
      <w:pPr>
        <w:pStyle w:val="ListParagraph"/>
        <w:numPr>
          <w:ilvl w:val="0"/>
          <w:numId w:val="5"/>
        </w:numPr>
        <w:outlineLvl w:val="0"/>
        <w:rPr>
          <w:rFonts w:ascii="Arial" w:hAnsi="Arial" w:cs="Arial"/>
          <w:b/>
          <w:bCs/>
          <w:color w:val="4181C0"/>
          <w:sz w:val="18"/>
          <w:szCs w:val="18"/>
        </w:rPr>
      </w:pPr>
      <w:r w:rsidRPr="009335E1">
        <w:rPr>
          <w:rFonts w:ascii="Arial" w:hAnsi="Arial" w:cs="Arial"/>
          <w:b/>
          <w:bCs/>
          <w:color w:val="4181C0"/>
          <w:sz w:val="18"/>
          <w:szCs w:val="18"/>
        </w:rPr>
        <w:t xml:space="preserve">There were 3,368 (5.0%) of persons who had moved to TAS from overseas in the year prior to </w:t>
      </w:r>
      <w:r>
        <w:rPr>
          <w:rFonts w:ascii="Arial" w:hAnsi="Arial" w:cs="Arial"/>
          <w:b/>
          <w:bCs/>
          <w:color w:val="4181C0"/>
          <w:sz w:val="18"/>
          <w:szCs w:val="18"/>
        </w:rPr>
        <w:t xml:space="preserve">the </w:t>
      </w:r>
      <w:r w:rsidRPr="009335E1">
        <w:rPr>
          <w:rFonts w:ascii="Arial" w:hAnsi="Arial" w:cs="Arial"/>
          <w:b/>
          <w:bCs/>
          <w:color w:val="4181C0"/>
          <w:sz w:val="18"/>
          <w:szCs w:val="18"/>
        </w:rPr>
        <w:t>2011 Census.</w:t>
      </w:r>
    </w:p>
    <w:p w:rsidR="00C6641B" w:rsidRDefault="00C6641B" w:rsidP="002A47EB">
      <w:pPr>
        <w:jc w:val="center"/>
        <w:rPr>
          <w:rFonts w:ascii="Arial" w:eastAsia="Times New Roman" w:hAnsi="Arial" w:cs="Arial"/>
          <w:b/>
          <w:color w:val="000000"/>
          <w:lang w:eastAsia="en-AU"/>
        </w:rPr>
      </w:pPr>
    </w:p>
    <w:p w:rsidR="00B82A97" w:rsidRDefault="00B82A97" w:rsidP="002A47EB">
      <w:pPr>
        <w:jc w:val="center"/>
        <w:rPr>
          <w:rFonts w:ascii="Arial" w:eastAsia="Times New Roman" w:hAnsi="Arial" w:cs="Arial"/>
          <w:b/>
          <w:color w:val="000000"/>
          <w:lang w:eastAsia="en-AU"/>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 xml:space="preserve">Place of </w:t>
      </w:r>
      <w:r w:rsidR="00B82A97">
        <w:rPr>
          <w:rFonts w:ascii="Arial" w:eastAsia="Times New Roman" w:hAnsi="Arial" w:cs="Arial"/>
          <w:b/>
          <w:color w:val="000000"/>
          <w:sz w:val="28"/>
          <w:szCs w:val="28"/>
          <w:lang w:eastAsia="en-AU"/>
        </w:rPr>
        <w:t>U</w:t>
      </w:r>
      <w:r w:rsidRPr="00577B41">
        <w:rPr>
          <w:rFonts w:ascii="Arial" w:eastAsia="Times New Roman" w:hAnsi="Arial" w:cs="Arial"/>
          <w:b/>
          <w:color w:val="000000"/>
          <w:sz w:val="28"/>
          <w:szCs w:val="28"/>
          <w:lang w:eastAsia="en-AU"/>
        </w:rPr>
        <w:t xml:space="preserve">sual </w:t>
      </w:r>
      <w:r w:rsidR="00B82A97">
        <w:rPr>
          <w:rFonts w:ascii="Arial" w:eastAsia="Times New Roman" w:hAnsi="Arial" w:cs="Arial"/>
          <w:b/>
          <w:color w:val="000000"/>
          <w:sz w:val="28"/>
          <w:szCs w:val="28"/>
          <w:lang w:eastAsia="en-AU"/>
        </w:rPr>
        <w:t>R</w:t>
      </w:r>
      <w:r w:rsidRPr="00577B41">
        <w:rPr>
          <w:rFonts w:ascii="Arial" w:eastAsia="Times New Roman" w:hAnsi="Arial" w:cs="Arial"/>
          <w:b/>
          <w:color w:val="000000"/>
          <w:sz w:val="28"/>
          <w:szCs w:val="28"/>
          <w:lang w:eastAsia="en-AU"/>
        </w:rPr>
        <w:t xml:space="preserve">esidence </w:t>
      </w:r>
      <w:r w:rsidR="00B82A97">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 ago (all persons who moved, excluding persons aged under </w:t>
      </w:r>
      <w:r w:rsidR="00B82A97">
        <w:rPr>
          <w:rFonts w:ascii="Arial" w:eastAsia="Times New Roman" w:hAnsi="Arial" w:cs="Arial"/>
          <w:b/>
          <w:color w:val="000000"/>
          <w:sz w:val="28"/>
          <w:szCs w:val="28"/>
          <w:lang w:eastAsia="en-AU"/>
        </w:rPr>
        <w:t>five</w:t>
      </w:r>
      <w:r w:rsidRPr="00577B41">
        <w:rPr>
          <w:rFonts w:ascii="Arial" w:eastAsia="Times New Roman" w:hAnsi="Arial" w:cs="Arial"/>
          <w:b/>
          <w:color w:val="000000"/>
          <w:sz w:val="28"/>
          <w:szCs w:val="28"/>
          <w:lang w:eastAsia="en-AU"/>
        </w:rPr>
        <w:t xml:space="preserve"> years)</w:t>
      </w:r>
    </w:p>
    <w:tbl>
      <w:tblPr>
        <w:tblStyle w:val="TableGrid"/>
        <w:tblW w:w="8930" w:type="dxa"/>
        <w:tblInd w:w="250" w:type="dxa"/>
        <w:tblLook w:val="04A0" w:firstRow="1" w:lastRow="0" w:firstColumn="1" w:lastColumn="0" w:noHBand="0" w:noVBand="1"/>
      </w:tblPr>
      <w:tblGrid>
        <w:gridCol w:w="2693"/>
        <w:gridCol w:w="3261"/>
        <w:gridCol w:w="2976"/>
      </w:tblGrid>
      <w:tr w:rsidR="002A47EB" w:rsidTr="00DA6AB4">
        <w:trPr>
          <w:trHeight w:val="340"/>
        </w:trPr>
        <w:tc>
          <w:tcPr>
            <w:tcW w:w="2693"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DA6AB4">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DA6AB4">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3A0DBE" w:rsidTr="00DA6AB4">
        <w:trPr>
          <w:trHeight w:val="340"/>
        </w:trPr>
        <w:tc>
          <w:tcPr>
            <w:tcW w:w="2693" w:type="dxa"/>
            <w:shd w:val="clear" w:color="auto" w:fill="8DB3E2" w:themeFill="text2" w:themeFillTint="66"/>
            <w:vAlign w:val="bottom"/>
          </w:tcPr>
          <w:p w:rsidR="003A0DBE" w:rsidRPr="00DA6AB4" w:rsidRDefault="00D062C6" w:rsidP="00DA6AB4">
            <w:pPr>
              <w:spacing w:before="60"/>
              <w:rPr>
                <w:rFonts w:ascii="Arial" w:eastAsia="Times New Roman" w:hAnsi="Arial" w:cs="Arial"/>
                <w:color w:val="000000"/>
                <w:sz w:val="18"/>
                <w:szCs w:val="18"/>
                <w:lang w:eastAsia="en-AU"/>
              </w:rPr>
            </w:pPr>
            <w:r w:rsidRPr="00DA6AB4">
              <w:rPr>
                <w:rFonts w:ascii="Arial" w:eastAsia="Times New Roman" w:hAnsi="Arial" w:cs="Arial"/>
                <w:color w:val="000000"/>
                <w:sz w:val="18"/>
                <w:szCs w:val="18"/>
                <w:lang w:eastAsia="en-AU"/>
              </w:rPr>
              <w:t>Within State</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124,738 (74.0%)</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128,552 (75.0%)</w:t>
            </w:r>
          </w:p>
        </w:tc>
      </w:tr>
      <w:tr w:rsidR="003A0DBE" w:rsidTr="00DA6AB4">
        <w:trPr>
          <w:trHeight w:val="340"/>
        </w:trPr>
        <w:tc>
          <w:tcPr>
            <w:tcW w:w="2693" w:type="dxa"/>
            <w:shd w:val="clear" w:color="auto" w:fill="8DB3E2" w:themeFill="text2" w:themeFillTint="66"/>
            <w:vAlign w:val="bottom"/>
          </w:tcPr>
          <w:p w:rsidR="003A0DBE" w:rsidRPr="00DA6AB4" w:rsidRDefault="009335E1" w:rsidP="00DA6AB4">
            <w:pPr>
              <w:spacing w:before="6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Interstate</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30,494 (18.1%)</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32,752 (19.0%)</w:t>
            </w:r>
          </w:p>
        </w:tc>
      </w:tr>
      <w:tr w:rsidR="003A0DBE" w:rsidTr="00DA6AB4">
        <w:trPr>
          <w:trHeight w:val="340"/>
        </w:trPr>
        <w:tc>
          <w:tcPr>
            <w:tcW w:w="2693" w:type="dxa"/>
            <w:shd w:val="clear" w:color="auto" w:fill="8DB3E2" w:themeFill="text2" w:themeFillTint="66"/>
            <w:vAlign w:val="bottom"/>
          </w:tcPr>
          <w:p w:rsidR="003A0DBE" w:rsidRPr="00DA6AB4" w:rsidRDefault="003A0DBE" w:rsidP="00DA6AB4">
            <w:pPr>
              <w:spacing w:before="60"/>
              <w:rPr>
                <w:rFonts w:ascii="Arial" w:eastAsia="Times New Roman" w:hAnsi="Arial" w:cs="Arial"/>
                <w:color w:val="000000"/>
                <w:sz w:val="18"/>
                <w:szCs w:val="18"/>
                <w:lang w:eastAsia="en-AU"/>
              </w:rPr>
            </w:pPr>
            <w:r w:rsidRPr="00DA6AB4">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11,653 (6.9%)</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8,372 (5.0%)</w:t>
            </w:r>
          </w:p>
        </w:tc>
      </w:tr>
      <w:tr w:rsidR="003A0DBE" w:rsidTr="00DA6AB4">
        <w:trPr>
          <w:trHeight w:val="340"/>
        </w:trPr>
        <w:tc>
          <w:tcPr>
            <w:tcW w:w="2693" w:type="dxa"/>
            <w:shd w:val="clear" w:color="auto" w:fill="8DB3E2" w:themeFill="text2" w:themeFillTint="66"/>
            <w:vAlign w:val="bottom"/>
          </w:tcPr>
          <w:p w:rsidR="003A0DBE" w:rsidRPr="00DA6AB4" w:rsidRDefault="003A0DBE" w:rsidP="00DA6AB4">
            <w:pPr>
              <w:spacing w:before="60"/>
              <w:rPr>
                <w:rFonts w:ascii="Arial" w:eastAsia="Times New Roman" w:hAnsi="Arial" w:cs="Arial"/>
                <w:color w:val="000000"/>
                <w:sz w:val="18"/>
                <w:szCs w:val="18"/>
                <w:lang w:eastAsia="en-AU"/>
              </w:rPr>
            </w:pPr>
            <w:r w:rsidRPr="00DA6AB4">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168,567 (100.0%)</w:t>
            </w:r>
          </w:p>
        </w:tc>
        <w:tc>
          <w:tcPr>
            <w:tcW w:w="2976" w:type="dxa"/>
            <w:shd w:val="clear" w:color="auto" w:fill="C6D9F1" w:themeFill="text2" w:themeFillTint="33"/>
            <w:vAlign w:val="bottom"/>
          </w:tcPr>
          <w:p w:rsidR="003A0DBE" w:rsidRPr="00DA6AB4" w:rsidRDefault="003A0DBE" w:rsidP="00DA6AB4">
            <w:pPr>
              <w:jc w:val="right"/>
              <w:rPr>
                <w:rFonts w:ascii="Arial" w:hAnsi="Arial" w:cs="Arial"/>
                <w:sz w:val="18"/>
                <w:szCs w:val="18"/>
              </w:rPr>
            </w:pPr>
            <w:r w:rsidRPr="00DA6AB4">
              <w:rPr>
                <w:rFonts w:ascii="Arial" w:hAnsi="Arial" w:cs="Arial"/>
                <w:sz w:val="18"/>
                <w:szCs w:val="18"/>
              </w:rPr>
              <w:t>171,435 (100.0%)</w:t>
            </w:r>
          </w:p>
        </w:tc>
      </w:tr>
    </w:tbl>
    <w:p w:rsidR="002A47EB" w:rsidRDefault="002A47EB" w:rsidP="002A47EB">
      <w:pPr>
        <w:rPr>
          <w:rFonts w:ascii="Arial" w:hAnsi="Arial" w:cs="Arial"/>
          <w:b/>
        </w:rPr>
      </w:pPr>
    </w:p>
    <w:p w:rsidR="009335E1" w:rsidRPr="009335E1" w:rsidRDefault="009335E1" w:rsidP="009335E1">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Almost three quarters </w:t>
      </w:r>
      <w:r w:rsidRPr="009335E1">
        <w:rPr>
          <w:rFonts w:ascii="Arial" w:hAnsi="Arial" w:cs="Arial"/>
          <w:b/>
          <w:bCs/>
          <w:color w:val="4181C0"/>
          <w:sz w:val="18"/>
          <w:szCs w:val="18"/>
        </w:rPr>
        <w:t xml:space="preserve">(74.0%) </w:t>
      </w:r>
      <w:r>
        <w:rPr>
          <w:rFonts w:ascii="Arial" w:hAnsi="Arial" w:cs="Arial"/>
          <w:b/>
          <w:bCs/>
          <w:color w:val="4181C0"/>
          <w:sz w:val="18"/>
          <w:szCs w:val="18"/>
        </w:rPr>
        <w:t xml:space="preserve">of the Tasmanian residents who moved in the five years prior to the 2011 Census </w:t>
      </w:r>
      <w:r w:rsidRPr="000D3BE0">
        <w:rPr>
          <w:rFonts w:ascii="Arial" w:hAnsi="Arial" w:cs="Arial"/>
          <w:b/>
          <w:bCs/>
          <w:color w:val="4181C0"/>
          <w:sz w:val="18"/>
          <w:szCs w:val="18"/>
        </w:rPr>
        <w:t xml:space="preserve">moved within the </w:t>
      </w:r>
      <w:r>
        <w:rPr>
          <w:rFonts w:ascii="Arial" w:hAnsi="Arial" w:cs="Arial"/>
          <w:b/>
          <w:bCs/>
          <w:color w:val="4181C0"/>
          <w:sz w:val="18"/>
          <w:szCs w:val="18"/>
        </w:rPr>
        <w:t>State.</w:t>
      </w:r>
    </w:p>
    <w:p w:rsidR="009335E1" w:rsidRPr="009335E1" w:rsidRDefault="009335E1" w:rsidP="00D062B7">
      <w:pPr>
        <w:pStyle w:val="ListParagraph"/>
        <w:numPr>
          <w:ilvl w:val="0"/>
          <w:numId w:val="5"/>
        </w:numPr>
        <w:outlineLvl w:val="0"/>
        <w:rPr>
          <w:rFonts w:ascii="Arial" w:hAnsi="Arial" w:cs="Arial"/>
          <w:b/>
          <w:bCs/>
          <w:color w:val="4181C0"/>
          <w:sz w:val="18"/>
          <w:szCs w:val="18"/>
        </w:rPr>
      </w:pPr>
      <w:r w:rsidRPr="009335E1">
        <w:rPr>
          <w:rFonts w:ascii="Arial" w:hAnsi="Arial" w:cs="Arial"/>
          <w:b/>
          <w:bCs/>
          <w:color w:val="4181C0"/>
          <w:sz w:val="18"/>
          <w:szCs w:val="18"/>
        </w:rPr>
        <w:t xml:space="preserve">There were 11,653 (6.9%) of persons who had moved to Tasmania from overseas </w:t>
      </w:r>
      <w:r>
        <w:rPr>
          <w:rFonts w:ascii="Arial" w:hAnsi="Arial" w:cs="Arial"/>
          <w:b/>
          <w:bCs/>
          <w:color w:val="4181C0"/>
          <w:sz w:val="18"/>
          <w:szCs w:val="18"/>
        </w:rPr>
        <w:t xml:space="preserve">in the </w:t>
      </w:r>
      <w:r w:rsidRPr="009335E1">
        <w:rPr>
          <w:rFonts w:ascii="Arial" w:hAnsi="Arial" w:cs="Arial"/>
          <w:b/>
          <w:bCs/>
          <w:color w:val="4181C0"/>
          <w:sz w:val="18"/>
          <w:szCs w:val="18"/>
        </w:rPr>
        <w:t xml:space="preserve">five years prior to </w:t>
      </w:r>
      <w:r>
        <w:rPr>
          <w:rFonts w:ascii="Arial" w:hAnsi="Arial" w:cs="Arial"/>
          <w:b/>
          <w:bCs/>
          <w:color w:val="4181C0"/>
          <w:sz w:val="18"/>
          <w:szCs w:val="18"/>
        </w:rPr>
        <w:t xml:space="preserve">the </w:t>
      </w:r>
      <w:r w:rsidRPr="009335E1">
        <w:rPr>
          <w:rFonts w:ascii="Arial" w:hAnsi="Arial" w:cs="Arial"/>
          <w:b/>
          <w:bCs/>
          <w:color w:val="4181C0"/>
          <w:sz w:val="18"/>
          <w:szCs w:val="18"/>
        </w:rPr>
        <w:t>2011 Census.</w:t>
      </w:r>
    </w:p>
    <w:p w:rsidR="00D062B7" w:rsidRPr="00D062B7" w:rsidRDefault="00D062B7" w:rsidP="00D062B7">
      <w:pPr>
        <w:outlineLvl w:val="0"/>
        <w:rPr>
          <w:rFonts w:ascii="Arial" w:hAnsi="Arial" w:cs="Arial"/>
          <w:b/>
          <w:bCs/>
          <w:color w:val="4181C0"/>
          <w:sz w:val="18"/>
          <w:szCs w:val="18"/>
        </w:rPr>
      </w:pPr>
    </w:p>
    <w:sectPr w:rsidR="00D062B7" w:rsidRPr="00D062B7"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2C6" w:rsidRDefault="00D062C6" w:rsidP="00FB2000">
      <w:pPr>
        <w:spacing w:after="0" w:line="240" w:lineRule="auto"/>
      </w:pPr>
      <w:r>
        <w:separator/>
      </w:r>
    </w:p>
  </w:endnote>
  <w:endnote w:type="continuationSeparator" w:id="0">
    <w:p w:rsidR="00D062C6" w:rsidRDefault="00D062C6"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C6" w:rsidRDefault="00D062C6">
    <w:pPr>
      <w:pStyle w:val="Footer"/>
    </w:pPr>
    <w:r>
      <w:rPr>
        <w:noProof/>
        <w:lang w:eastAsia="en-AU"/>
      </w:rPr>
      <w:drawing>
        <wp:anchor distT="0" distB="0" distL="114300" distR="114300" simplePos="0" relativeHeight="251659264" behindDoc="1" locked="0" layoutInCell="1" allowOverlap="1" wp14:anchorId="6889B354" wp14:editId="05B19C26">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D062C6" w:rsidRDefault="00D06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2C6" w:rsidRDefault="00D062C6" w:rsidP="00FB2000">
      <w:pPr>
        <w:spacing w:after="0" w:line="240" w:lineRule="auto"/>
      </w:pPr>
      <w:r>
        <w:separator/>
      </w:r>
    </w:p>
  </w:footnote>
  <w:footnote w:type="continuationSeparator" w:id="0">
    <w:p w:rsidR="00D062C6" w:rsidRDefault="00D062C6"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C6" w:rsidRDefault="00D062C6">
    <w:pPr>
      <w:pStyle w:val="Header"/>
    </w:pPr>
    <w:r>
      <w:rPr>
        <w:noProof/>
        <w:lang w:eastAsia="en-AU"/>
      </w:rPr>
      <w:drawing>
        <wp:anchor distT="0" distB="0" distL="114300" distR="114300" simplePos="0" relativeHeight="251660288" behindDoc="1" locked="0" layoutInCell="1" allowOverlap="1" wp14:anchorId="76111530" wp14:editId="0866BDBD">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D062C6" w:rsidRDefault="00D06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FE3612C8"/>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
  </w:num>
  <w:num w:numId="6">
    <w:abstractNumId w:val="3"/>
  </w:num>
  <w:num w:numId="7">
    <w:abstractNumId w:val="7"/>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619A"/>
    <w:rsid w:val="001222EF"/>
    <w:rsid w:val="0012464C"/>
    <w:rsid w:val="00126662"/>
    <w:rsid w:val="00142FDA"/>
    <w:rsid w:val="00195295"/>
    <w:rsid w:val="001A320D"/>
    <w:rsid w:val="001B4E57"/>
    <w:rsid w:val="001B6491"/>
    <w:rsid w:val="001C3BDA"/>
    <w:rsid w:val="001C5AD9"/>
    <w:rsid w:val="001D5700"/>
    <w:rsid w:val="00200A52"/>
    <w:rsid w:val="00222667"/>
    <w:rsid w:val="002236FF"/>
    <w:rsid w:val="00233455"/>
    <w:rsid w:val="0023602E"/>
    <w:rsid w:val="0027431A"/>
    <w:rsid w:val="00276567"/>
    <w:rsid w:val="002A47EB"/>
    <w:rsid w:val="002C53F7"/>
    <w:rsid w:val="002E398F"/>
    <w:rsid w:val="002E495F"/>
    <w:rsid w:val="002F75D9"/>
    <w:rsid w:val="00323396"/>
    <w:rsid w:val="00323637"/>
    <w:rsid w:val="00336FAE"/>
    <w:rsid w:val="00343E6A"/>
    <w:rsid w:val="00344F14"/>
    <w:rsid w:val="003504A3"/>
    <w:rsid w:val="00351CE8"/>
    <w:rsid w:val="003836C7"/>
    <w:rsid w:val="00395DA2"/>
    <w:rsid w:val="003A0DBE"/>
    <w:rsid w:val="003E7905"/>
    <w:rsid w:val="003F1FA6"/>
    <w:rsid w:val="0040658F"/>
    <w:rsid w:val="00430AF6"/>
    <w:rsid w:val="00433831"/>
    <w:rsid w:val="00442F63"/>
    <w:rsid w:val="00453A95"/>
    <w:rsid w:val="004752F8"/>
    <w:rsid w:val="004B1834"/>
    <w:rsid w:val="004F0023"/>
    <w:rsid w:val="00501823"/>
    <w:rsid w:val="00507121"/>
    <w:rsid w:val="0051406F"/>
    <w:rsid w:val="00520693"/>
    <w:rsid w:val="0054273D"/>
    <w:rsid w:val="0056133B"/>
    <w:rsid w:val="00576A85"/>
    <w:rsid w:val="00577B41"/>
    <w:rsid w:val="00584AA0"/>
    <w:rsid w:val="00594664"/>
    <w:rsid w:val="005C1188"/>
    <w:rsid w:val="005C397A"/>
    <w:rsid w:val="005D2C2E"/>
    <w:rsid w:val="00604ABE"/>
    <w:rsid w:val="006250FC"/>
    <w:rsid w:val="00677868"/>
    <w:rsid w:val="006A7683"/>
    <w:rsid w:val="006B4BFF"/>
    <w:rsid w:val="006E0FBB"/>
    <w:rsid w:val="006E1414"/>
    <w:rsid w:val="00702C83"/>
    <w:rsid w:val="007139A3"/>
    <w:rsid w:val="00726F2A"/>
    <w:rsid w:val="00740DF9"/>
    <w:rsid w:val="00742EC1"/>
    <w:rsid w:val="007647FC"/>
    <w:rsid w:val="00793493"/>
    <w:rsid w:val="007B610E"/>
    <w:rsid w:val="008221E1"/>
    <w:rsid w:val="00830BD8"/>
    <w:rsid w:val="0085196E"/>
    <w:rsid w:val="008522F8"/>
    <w:rsid w:val="00864EA7"/>
    <w:rsid w:val="00891224"/>
    <w:rsid w:val="008B2ACC"/>
    <w:rsid w:val="008B58A5"/>
    <w:rsid w:val="008C1667"/>
    <w:rsid w:val="00913480"/>
    <w:rsid w:val="009135CC"/>
    <w:rsid w:val="00913D3B"/>
    <w:rsid w:val="0091653E"/>
    <w:rsid w:val="009335E1"/>
    <w:rsid w:val="00936274"/>
    <w:rsid w:val="00964903"/>
    <w:rsid w:val="00974250"/>
    <w:rsid w:val="009A0023"/>
    <w:rsid w:val="009C247B"/>
    <w:rsid w:val="009D6D94"/>
    <w:rsid w:val="00A11293"/>
    <w:rsid w:val="00A43D36"/>
    <w:rsid w:val="00A517E5"/>
    <w:rsid w:val="00A57632"/>
    <w:rsid w:val="00A833A0"/>
    <w:rsid w:val="00B01E2F"/>
    <w:rsid w:val="00B27D30"/>
    <w:rsid w:val="00B5694C"/>
    <w:rsid w:val="00B63DE0"/>
    <w:rsid w:val="00B750A3"/>
    <w:rsid w:val="00B80E78"/>
    <w:rsid w:val="00B82A97"/>
    <w:rsid w:val="00B82E86"/>
    <w:rsid w:val="00B83D07"/>
    <w:rsid w:val="00B84AA5"/>
    <w:rsid w:val="00B933A7"/>
    <w:rsid w:val="00BA68D1"/>
    <w:rsid w:val="00BF1EC3"/>
    <w:rsid w:val="00BF46A5"/>
    <w:rsid w:val="00C0246B"/>
    <w:rsid w:val="00C06AF4"/>
    <w:rsid w:val="00C07C7D"/>
    <w:rsid w:val="00C274AF"/>
    <w:rsid w:val="00C46225"/>
    <w:rsid w:val="00C469E0"/>
    <w:rsid w:val="00C519A1"/>
    <w:rsid w:val="00C6641B"/>
    <w:rsid w:val="00C7399C"/>
    <w:rsid w:val="00C86BAA"/>
    <w:rsid w:val="00CB16F9"/>
    <w:rsid w:val="00CD0C2E"/>
    <w:rsid w:val="00CD1E23"/>
    <w:rsid w:val="00CE1624"/>
    <w:rsid w:val="00CF489B"/>
    <w:rsid w:val="00D0532D"/>
    <w:rsid w:val="00D062B7"/>
    <w:rsid w:val="00D062C6"/>
    <w:rsid w:val="00D165B0"/>
    <w:rsid w:val="00D24529"/>
    <w:rsid w:val="00D314BC"/>
    <w:rsid w:val="00D413DF"/>
    <w:rsid w:val="00D448C6"/>
    <w:rsid w:val="00D44E29"/>
    <w:rsid w:val="00D6477B"/>
    <w:rsid w:val="00D6793E"/>
    <w:rsid w:val="00D877FC"/>
    <w:rsid w:val="00D96A8E"/>
    <w:rsid w:val="00D96DC9"/>
    <w:rsid w:val="00DA6AB4"/>
    <w:rsid w:val="00DB7F2F"/>
    <w:rsid w:val="00DE3C33"/>
    <w:rsid w:val="00DE547A"/>
    <w:rsid w:val="00E27405"/>
    <w:rsid w:val="00E640DC"/>
    <w:rsid w:val="00E7764E"/>
    <w:rsid w:val="00E85F97"/>
    <w:rsid w:val="00E8695A"/>
    <w:rsid w:val="00EA1905"/>
    <w:rsid w:val="00EC5711"/>
    <w:rsid w:val="00F86539"/>
    <w:rsid w:val="00FB2000"/>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D9F26-1AAD-4F57-A0EB-50553600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3</TotalTime>
  <Pages>8</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3</cp:revision>
  <cp:lastPrinted>2012-10-10T20:24:00Z</cp:lastPrinted>
  <dcterms:created xsi:type="dcterms:W3CDTF">2012-10-22T06:05:00Z</dcterms:created>
  <dcterms:modified xsi:type="dcterms:W3CDTF">2012-10-29T03:11:00Z</dcterms:modified>
</cp:coreProperties>
</file>